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f4ba761ce8e743cd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9e9e932bbe9540ba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4200"/>
      </w:pPr>
      <w:r/>
    </w:p>
    <w:p>
      <w:pPr>
        <w:spacing w:after="200"/>
        <w:ind w:left="1200" w:right="1200"/>
      </w:pPr>
      <w:r>
        <w:rPr>
          <w:rFonts w:ascii="Calibri" w:hAnsi="Calibri" w:eastAsia="Microsoft YaHei"/>
          <w:b/>
          <w:color w:val="ffffff"/>
          <w:spacing w:val="40"/>
          <w:sz w:val="80"/>
        </w:rPr>
        <w:t>BONE X Studio</w:t>
      </w:r>
    </w:p>
    <w:p>
      <w:pPr>
        <w:spacing w:after="400"/>
        <w:ind w:left="1200" w:right="1200"/>
      </w:pPr>
      <w:r>
        <w:rPr>
          <w:rFonts w:ascii="Calibri" w:hAnsi="Calibri" w:eastAsia="Microsoft YaHei"/>
          <w:color w:val="00d4ff"/>
          <w:spacing w:val="20"/>
          <w:sz w:val="32"/>
        </w:rPr>
        <w:t>终局详细设计方案 v5.0</w:t>
      </w:r>
    </w:p>
    <w:p>
      <w:pPr>
        <w:spacing w:after="200"/>
        <w:ind w:left="1200" w:right="1200"/>
      </w:pPr>
      <w:r>
        <w:rPr>
          <w:rFonts w:ascii="Calibri" w:hAnsi="Calibri" w:eastAsia="Microsoft YaHei"/>
          <w:color w:val="a0b4c4"/>
          <w:sz w:val="24"/>
        </w:rPr>
        <w:t>企业级 AI 原生研发操作系统</w:t>
      </w:r>
    </w:p>
    <w:p>
      <w:pPr>
        <w:spacing w:after="3500"/>
        <w:ind w:left="1200" w:right="1200"/>
      </w:pPr>
      <w:r>
        <w:rPr>
          <w:rFonts w:ascii="Calibri" w:hAnsi="Calibri" w:eastAsia="Microsoft YaHei"/>
          <w:color w:val="7a8fa0"/>
          <w:sz w:val="22"/>
        </w:rPr>
        <w:t>架构治理中心 + 元数据应用工厂 | 双核心融合</w:t>
      </w:r>
    </w:p>
    <w:p>
      <w:pPr>
        <w:ind w:left="1200"/>
      </w:pPr>
      <w:r>
        <w:rPr>
          <w:rFonts w:ascii="Calibri" w:hAnsi="Calibri" w:eastAsia="Microsoft YaHei"/>
          <w:color w:val="5a7a8a"/>
          <w:sz w:val="20"/>
        </w:rPr>
        <w:t>Bone Framework Team | 2026年4月 | 内部机密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目录</w:t>
      </w:r>
      <w:bookmarkStart w:name="_Toc000" w:id="1"/>
      <w:bookmarkEnd w:id="1"/>
    </w:p>
    <w:p>
      <w:pPr>
        <w:spacing w:after="300"/>
      </w:pPr>
      <w:r>
        <w:rPr>
          <w:rFonts w:ascii="Calibri" w:hAnsi="Calibri" w:eastAsia="Microsoft YaHei"/>
          <w:color w:val="5c6b73"/>
          <w:sz w:val="18"/>
        </w:rPr>
        <w:t>右键目录，选择"更新域"刷新页码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第一章 产品愿景与核心定位</w:t>
      </w:r>
      <w:r>
        <w:tab/>
      </w:r>
      <w:r>
        <w:t>3</w:t>
      </w:r>
    </w:p>
    <w:p>
      <w:pPr>
        <w:pStyle w:val="TOC1"/>
      </w:pPr>
      <w:r>
        <w:t>第二章 用户与场景分析</w:t>
      </w:r>
      <w:r>
        <w:tab/>
      </w:r>
      <w:r>
        <w:t>6</w:t>
      </w:r>
    </w:p>
    <w:p>
      <w:pPr>
        <w:pStyle w:val="TOC1"/>
      </w:pPr>
      <w:r>
        <w:t>第三章 产品范围与边界</w:t>
      </w:r>
      <w:r>
        <w:tab/>
      </w:r>
      <w:r>
        <w:t>10</w:t>
      </w:r>
    </w:p>
    <w:p>
      <w:pPr>
        <w:pStyle w:val="TOC1"/>
      </w:pPr>
      <w:r>
        <w:t>第四章 技术架构总览</w:t>
      </w:r>
      <w:r>
        <w:tab/>
      </w:r>
      <w:r>
        <w:t>14</w:t>
      </w:r>
    </w:p>
    <w:p>
      <w:pPr>
        <w:pStyle w:val="TOC1"/>
      </w:pPr>
      <w:r>
        <w:t>第五章 领域驱动设计（DDD）规范</w:t>
      </w:r>
      <w:r>
        <w:tab/>
      </w:r>
      <w:r>
        <w:t>18</w:t>
      </w:r>
    </w:p>
    <w:p>
      <w:pPr>
        <w:pStyle w:val="TOC1"/>
      </w:pPr>
      <w:r>
        <w:t>第六章 CQRS与事件驱动架构</w:t>
      </w:r>
      <w:r>
        <w:tab/>
      </w:r>
      <w:r>
        <w:t>22</w:t>
      </w:r>
    </w:p>
    <w:p>
      <w:pPr>
        <w:pStyle w:val="TOC1"/>
      </w:pPr>
      <w:r>
        <w:t>第七章 多租户架构设计</w:t>
      </w:r>
      <w:r>
        <w:tab/>
      </w:r>
      <w:r>
        <w:t>26</w:t>
      </w:r>
    </w:p>
    <w:p>
      <w:pPr>
        <w:pStyle w:val="TOC1"/>
      </w:pPr>
      <w:r>
        <w:t>第八章 前端架构设计</w:t>
      </w:r>
      <w:r>
        <w:tab/>
      </w:r>
      <w:r>
        <w:t>29</w:t>
      </w:r>
    </w:p>
    <w:p>
      <w:pPr>
        <w:pStyle w:val="TOC1"/>
      </w:pPr>
      <w:r>
        <w:t>第九章 统一控制台与仪表盘</w:t>
      </w:r>
      <w:r>
        <w:tab/>
      </w:r>
      <w:r>
        <w:t>33</w:t>
      </w:r>
    </w:p>
    <w:p>
      <w:pPr>
        <w:pStyle w:val="TOC1"/>
      </w:pPr>
      <w:r>
        <w:t>第十章 架构治理中心</w:t>
      </w:r>
      <w:r>
        <w:tab/>
      </w:r>
      <w:r>
        <w:t>37</w:t>
      </w:r>
    </w:p>
    <w:p>
      <w:pPr>
        <w:pStyle w:val="TOC1"/>
      </w:pPr>
      <w:r>
        <w:t>第十一章 元数据应用工厂</w:t>
      </w:r>
      <w:r>
        <w:tab/>
      </w:r>
      <w:r>
        <w:t>42</w:t>
      </w:r>
    </w:p>
    <w:p>
      <w:pPr>
        <w:pStyle w:val="TOC1"/>
      </w:pPr>
      <w:r>
        <w:t>第十二章 统一IAM与权限中台</w:t>
      </w:r>
      <w:r>
        <w:tab/>
      </w:r>
      <w:r>
        <w:t>47</w:t>
      </w:r>
    </w:p>
    <w:p>
      <w:pPr>
        <w:pStyle w:val="TOC1"/>
      </w:pPr>
      <w:r>
        <w:t>第十三章 系统管理与运维</w:t>
      </w:r>
      <w:r>
        <w:tab/>
      </w:r>
      <w:r>
        <w:t>51</w:t>
      </w:r>
    </w:p>
    <w:p>
      <w:pPr>
        <w:pStyle w:val="TOC1"/>
      </w:pPr>
      <w:r>
        <w:t>第十四章 CLI与开发者工具</w:t>
      </w:r>
      <w:r>
        <w:tab/>
      </w:r>
      <w:r>
        <w:t>55</w:t>
      </w:r>
    </w:p>
    <w:p>
      <w:pPr>
        <w:pStyle w:val="TOC1"/>
      </w:pPr>
      <w:r>
        <w:t>第十五章 AI原生能力设计</w:t>
      </w:r>
      <w:r>
        <w:tab/>
      </w:r>
      <w:r>
        <w:t>58</w:t>
      </w:r>
    </w:p>
    <w:p>
      <w:pPr>
        <w:pStyle w:val="TOC1"/>
      </w:pPr>
      <w:r>
        <w:t>第十六章 安全架构设计</w:t>
      </w:r>
      <w:r>
        <w:tab/>
      </w:r>
      <w:r>
        <w:t>62</w:t>
      </w:r>
    </w:p>
    <w:p>
      <w:pPr>
        <w:pStyle w:val="TOC1"/>
      </w:pPr>
      <w:r>
        <w:t>第十七章 性能优化与高可用</w:t>
      </w:r>
      <w:r>
        <w:tab/>
      </w:r>
      <w:r>
        <w:t>66</w:t>
      </w:r>
    </w:p>
    <w:p>
      <w:pPr>
        <w:pStyle w:val="TOC1"/>
      </w:pPr>
      <w:r>
        <w:t>第十八章 部署与运维架构</w:t>
      </w:r>
      <w:r>
        <w:tab/>
      </w:r>
      <w:r>
        <w:t>70</w:t>
      </w:r>
    </w:p>
    <w:p>
      <w:pPr>
        <w:pStyle w:val="TOC1"/>
      </w:pPr>
      <w:r>
        <w:t>第十九章 发布与灰度策略</w:t>
      </w:r>
      <w:r>
        <w:tab/>
      </w:r>
      <w:r>
        <w:t>74</w:t>
      </w:r>
    </w:p>
    <w:p>
      <w:pPr>
        <w:pStyle w:val="TOC1"/>
      </w:pPr>
      <w:r>
        <w:t>第二十章 风险与依赖</w:t>
      </w:r>
      <w:r>
        <w:tab/>
      </w:r>
      <w:r>
        <w:t>78</w:t>
      </w:r>
    </w:p>
    <w:p>
      <w:pPr>
        <w:pStyle w:val="TOC1"/>
      </w:pPr>
      <w:r>
        <w:t>第二十一章 开源与社区策略</w:t>
      </w:r>
      <w:r>
        <w:tab/>
      </w:r>
      <w:r>
        <w:t>81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第一章 产品愿景与核心定位</w:t>
      </w:r>
      <w:bookmarkStart w:name="_Toc001" w:id="2"/>
      <w:bookmarkEnd w:id="2"/>
    </w:p>
    <w:p>
      <w:pPr>
        <w:pStyle w:val="Heading2"/>
      </w:pPr>
      <w:r>
        <w:t>1.1 产品定位</w:t>
      </w:r>
    </w:p>
    <w:p>
      <w:r>
        <w:t>BONE X Studio v5.0是新一代企业级AI原生研发操作系统，定位为"开发者的工作空间"（Developer Workspace Platform）。产品采用双核心架构：左侧架构治理中心（Bone Studio）通过"架构即代码"保障核心领域架构确定性；右侧元数据应用工厂（BONE Platform）通过"元数据驱动"赋能业务应用快速交付。</w:t>
      </w:r>
    </w:p>
    <w:p>
      <w:pPr>
        <w:pStyle w:val="Heading2"/>
      </w:pPr>
      <w:r>
        <w:t>1.2 核心愿景</w:t>
      </w:r>
    </w:p>
    <w:p>
      <w:r>
        <w:t>一句话定位：BONE X Studio = 架构治理系统（Bone Studio）+ 元数据应用工厂（BONE Platform），一个平台解决"架构不腐化"与"业务快交付"的终极矛盾。</w:t>
      </w:r>
    </w:p>
    <w:p>
      <w:pPr>
        <w:pStyle w:val="Heading2"/>
      </w:pPr>
      <w:r>
        <w:t>1.3 核心价值主张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用户角色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核心诉求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本方案价值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量化指标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CTO/技术VP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架构不腐化、业务快响应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双核心引擎，核心域严格治理，业务域敏捷交付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架构健康分≥90，新应用交付&lt;3天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架构师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规范可编程、架构可观测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将DDD/CQRS规范写入Blueprint模板，自动下发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规范落地率100%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核心开发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复杂业务逻辑聚焦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AI生成符合规范的DDD代码，扩展点替代if-else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样板代码减少70%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业务开发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快速构建CRUD应用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可视化实体建模，一键生成前后端代码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简单应用5分钟内上线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集成工程师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异构系统对接高效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可视化流程编排，50+连接器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集成时间缩短80%</w:t>
            </w:r>
          </w:p>
        </w:tc>
      </w:tr>
    </w:tbl>
    <w:p>
      <w:pPr>
        <w:pStyle w:val="Heading2"/>
      </w:pPr>
      <w:r>
        <w:t>1.4 成功标准（OKR）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Objective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Key Result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目标值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O1：企业级研发OS领导者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KR1: 支持Java/Go双语言架构治理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双语言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KR2: 架构健康分（ArchUnit评分）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≥90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KR3: 元数据驱动应用交付效率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&lt;3天/应用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KR4: 金融/政务/互联网标杆客户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≥8家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O2：AI架构生成能力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KR5: AI生成代码合规率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&gt;95%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KR6: 自然语言到可运行DDD模块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&lt;5分钟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O3：繁荣扩展生态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KR7: Extension Marketplace插件数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≥20个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O4：企业级高可用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KR8: 核心服务SLA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99.99%</w:t>
            </w:r>
          </w:p>
        </w:tc>
      </w:tr>
    </w:tbl>
    <w:p>
      <w:pPr>
        <w:pStyle w:val="Heading2"/>
      </w:pPr>
      <w:r>
        <w:t>1.5 北极星指标</w:t>
      </w:r>
    </w:p>
    <w:p>
      <w:pPr>
        <w:numPr>
          <w:ilvl w:val="0"/>
          <w:numId w:val="1"/>
        </w:numPr>
        <w:ind w:firstLine="0"/>
      </w:pPr>
      <w:r>
        <w:t>架构健康分：所有接入服务的ArchUnit评分均值，目标≥90分</w:t>
      </w:r>
    </w:p>
    <w:p>
      <w:pPr>
        <w:numPr>
          <w:ilvl w:val="0"/>
          <w:numId w:val="1"/>
        </w:numPr>
        <w:ind w:firstLine="0"/>
      </w:pPr>
      <w:r>
        <w:t>应用交付效率：从建模到可运行测试环境的时间，目标&lt;3天</w:t>
      </w:r>
    </w:p>
    <w:p>
      <w:pPr>
        <w:numPr>
          <w:ilvl w:val="0"/>
          <w:numId w:val="1"/>
        </w:numPr>
        <w:ind w:firstLine="0"/>
      </w:pPr>
      <w:r>
        <w:t>AI生成采纳率：AI生成模块通过Guard校验后直接合并占比，目标&gt;75%</w:t>
      </w:r>
    </w:p>
    <w:p>
      <w:pPr>
        <w:pStyle w:val="Heading1"/>
      </w:pPr>
      <w:r>
        <w:t>第二章 用户与场景分析</w:t>
      </w:r>
      <w:bookmarkStart w:name="_Toc002" w:id="3"/>
      <w:bookmarkEnd w:id="3"/>
    </w:p>
    <w:p>
      <w:pPr>
        <w:pStyle w:val="Heading2"/>
      </w:pPr>
      <w:r>
        <w:t>2.1 用户角色画像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角色层级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角色名称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典型画像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核心诉求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使用频率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决策层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CTO/技术VP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500+人研发团队负责人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架构不腐化、业务快响应、TCO可控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低频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决策层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首席架构师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企业架构委员会主席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规范可编程、架构可观测、跨团队一致性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中频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管理层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技术负责人（TL）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20-50人业务线负责人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交付效率、质量兜底、新人快速上手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高频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执行层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核心开发工程师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负责复杂业务领域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少写样板代码、避免架构违规、扩展点复用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高频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执行层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业务开发工程师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负责业务CRUD应用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快速建模、一键生成代码、少写重复代码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高频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执行层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集成工程师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系统集成专员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系统对接、流程编排、数据同步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中频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执行层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业务分析师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业务需求分析师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业务建模、主数据治理、需求落地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高频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运维层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DevOps工程师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CI/CD维护者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流水线集成、质量门禁、自动阻断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日常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生态层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插件开发者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ISV/企业内部IT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标准化API、扩展点开发、插件发布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项目制</w:t>
            </w:r>
          </w:p>
        </w:tc>
      </w:tr>
    </w:tbl>
    <w:p>
      <w:pPr>
        <w:pStyle w:val="Heading2"/>
      </w:pPr>
      <w:r>
        <w:t>2.2 核心用户旅程</w:t>
      </w:r>
    </w:p>
    <w:p>
      <w:pPr>
        <w:pStyle w:val="Heading3"/>
      </w:pPr>
      <w:r>
        <w:t>2.2.1 旅程一：核心开发——从需求到合规的DDD代码</w:t>
      </w:r>
    </w:p>
    <w:p>
      <w:r>
        <w:t>1. 接收需求：实现订单支付功能，支持VIP折扣、库存校验。2. AI建模：在Studio AI工作台输入自然语言需求。3. 架构预览：系统自动生成限界上下文、聚合根Order、扩展点PriceCalculator、CQRS L2建议。4. 代码生成：一键生成完整DDD模块（Domain充血/Application/Adapter/Infrastructure）。5. 本地校验：执行bone check，自动检测依赖方向、Domain纯净度。6. CI阻断：Push后ArchUnit铁律校验，违规无法合并。7. 扩展点配置：从Marketplace拖拽VIP折扣策略，配置路由规则。</w:t>
      </w:r>
    </w:p>
    <w:p>
      <w:pPr>
        <w:pStyle w:val="Heading3"/>
      </w:pPr>
      <w:r>
        <w:t>2.2.2 旅程二：业务开发——快速构建客户管理系统</w:t>
      </w:r>
    </w:p>
    <w:p>
      <w:r>
        <w:t>1. 登录Studio进入元数据应用工厂。2. 拖拽创建客户实体，添加字段（姓名、电话、等级）。3. 选择React+Spring Boot模板，一键生成前后端代码。4. 部署测试环境验证CRUD功能。5. 将客户提升为主数据实体，配置唯一性规则。6. 修改实体模型，重新生成代码，增量更新。</w:t>
      </w:r>
    </w:p>
    <w:p>
      <w:pPr>
        <w:pStyle w:val="Heading3"/>
      </w:pPr>
      <w:r>
        <w:t>2.2.3 旅程三：集成工程师——订单系统与ERP对接</w:t>
      </w:r>
    </w:p>
    <w:p>
      <w:r>
        <w:t>1. 配置REST连接器指向ERP系统。2. 拖拽设计流程：订单创建触发、调用ERP创建销售订单、回写订单状态。3. 输入测试数据验证流程执行。4. 激活流程，在监控面板查看执行状态。</w:t>
      </w:r>
    </w:p>
    <w:p>
      <w:pPr>
        <w:pStyle w:val="Heading3"/>
      </w:pPr>
      <w:r>
        <w:t>2.2.4 旅程四：架构师——企业级架构治理</w:t>
      </w:r>
    </w:p>
    <w:p>
      <w:r>
        <w:t>1. 在Studio中定义企业Blueprint模板（强制Snowflake ID、CQRS L2默认、禁止JPA注解）。2. 要求所有新服务通过Studio生成，存量服务接入Guard。3. 每周查看架构健康看板，识别腐化模块。4. 对低分模块执行bone migrate --auto自动迁移。</w:t>
      </w:r>
    </w:p>
    <w:p>
      <w:pPr>
        <w:pStyle w:val="Heading2"/>
      </w:pPr>
      <w:r>
        <w:t>2.3 目标行业与场景矩阵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行业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优先级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核心场景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关键需求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对应功能模块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互联网金融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支付核心、风控引擎、合规审计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强一致性DDD、扩展点、ACL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架构治理中心、扩展点市场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政务数字化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电子公文、审批流程、数据交换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信创适配、等保合规、主数据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元数据工厂、IAM、信创适配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互联网大厂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中台建设、微服务治理、新人培训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100+服务架构一致性、快速上手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架构治理中心、AI生成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智能制造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设备管理、供应链协同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多租户扩展点、复杂集成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扩展点市场、集成引擎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医药研发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临床文档、版本追溯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版本管理、知识图谱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主数据管理</w:t>
            </w:r>
          </w:p>
        </w:tc>
      </w:tr>
    </w:tbl>
    <w:p>
      <w:pPr>
        <w:pStyle w:val="Heading1"/>
      </w:pPr>
      <w:r>
        <w:t>第三章 产品范围与边界</w:t>
      </w:r>
      <w:bookmarkStart w:name="_Toc003" w:id="4"/>
      <w:bookmarkEnd w:id="4"/>
    </w:p>
    <w:p>
      <w:pPr>
        <w:pStyle w:val="Heading2"/>
      </w:pPr>
      <w:r>
        <w:t>3.1 双核心引擎架构</w:t>
      </w:r>
    </w:p>
    <w:p>
      <w:r>
        <w:t>BONE X Studio采用双核心架构：核心A为架构治理中心（面向核心开发/架构师），提供限界上下文设计器、AI业务建模引擎、DDD脚手架生成器、架构守护系统、CQRS智能分级引擎、扩展点市场和渐进式演进控制台；核心B为元数据应用工厂（面向业务开发/分析师/集成工程师），提供可视化实体建模器、代码生成引擎、模板管理、主数据管理、企业集成引擎和插件管理。双核心共享统一IAM与多租户、统一扩展点市场、统一集成连接器库和统一监控与审计能力。</w:t>
      </w:r>
    </w:p>
    <w:p>
      <w:pPr>
        <w:pStyle w:val="Heading2"/>
      </w:pPr>
      <w:r>
        <w:t>3.2 包含范围（In Scope）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核心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功能模块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详细能力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架构治理中心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限界上下文设计器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拖拽式聚合根设计、关系映射、事件建模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AI业务建模引擎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自然语言到限界上下文到完整DDD模块生成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DDD脚手架生成器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四层架构代码生成（含CQRS L1/L2/L3）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架构守护系统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4条铁律+命名+CQRS+扩展点检测，CI阻断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CQRS智能分级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自动分析查询复杂度，建议L1/L2/L3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扩展点市场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企业级扩展能力复用平台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渐进式演进控制台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存量系统评估、自动迁移、进度跟踪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元数据应用工厂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可视化实体建模器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拖拽创建实体、字段、关系、校验规则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代码生成引擎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实体到前后端代码（React/Vue + Spring Boot）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模板管理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自定义模板、版本管理、沙箱调试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主数据管理（MDM）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主数据实体、质量规则、数据看板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企业集成引擎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连接器管理、可视化流程编排（Apache Camel内核）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插件管理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Wasm插件热部署、沙箱隔离、版本回滚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共享能力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统一IAM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用户/角色/权限/审计/多租户/SSO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/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系统管理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配置、监控、日志、K8s部署</w:t>
            </w:r>
          </w:p>
        </w:tc>
      </w:tr>
    </w:tbl>
    <w:p>
      <w:pPr>
        <w:pStyle w:val="Heading2"/>
      </w:pPr>
      <w:r>
        <w:t>3.3 社区版 vs 商业版边界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功能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社区版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商业版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架构治理中心（DDD脚手架+Guard）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支持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支持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AI业务建模引擎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需自带LLM API Key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含企业级Prompt优化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元数据建模+代码生成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基础模板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全模板+自定义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主数据管理（MDM）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不支持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支持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集成引擎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仅REST/SOAP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全部连接器+高级EIP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扩展点市场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公共插件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私有插件+审批流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多租户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不支持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支持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信创数据库适配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不支持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支持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企业级SSO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不支持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支持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官方技术支持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GitHub Issues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SLA保障</w:t>
            </w:r>
          </w:p>
        </w:tc>
      </w:tr>
    </w:tbl>
    <w:p>
      <w:pPr>
        <w:pStyle w:val="Heading2"/>
      </w:pPr>
      <w:r>
        <w:t>3.4 不包含范围（Out of Scope）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功能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原因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替代方案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在线IDE/代码编辑器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非核心能力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提供IDE插件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代码托管（Git）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企业已有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对接Webhook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运行时监控（APM）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专业APM厂商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对接OpenTelemetry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低代码/无代码拖拽（完全配置化）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面向专业开发者，生成源码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不规划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移动端原生App开发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资源优先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V3.0规划</w:t>
            </w:r>
          </w:p>
        </w:tc>
      </w:tr>
    </w:tbl>
    <w:p>
      <w:pPr>
        <w:pStyle w:val="Heading1"/>
      </w:pPr>
      <w:r>
        <w:t>第四章 技术架构总览</w:t>
      </w:r>
      <w:bookmarkStart w:name="_Toc004" w:id="5"/>
      <w:bookmarkEnd w:id="5"/>
    </w:p>
    <w:p>
      <w:pPr>
        <w:pStyle w:val="Heading2"/>
      </w:pPr>
      <w:r>
        <w:t>4.1 整体架构</w:t>
      </w:r>
    </w:p>
    <w:p>
      <w:r>
        <w:t>系统采用云原生微服务架构，基于DDD（领域驱动设计）和CQRS（命令查询职责分离）模式构建。整体分为前端层（React/IntelliJ Plugin/VSCode Plugin）、接入层（Spring Cloud Gateway）、应用层（studio-api/studio-ai/studio-generator/studio-guard/studio-metadata）、引擎层（Bone AI Pipeline/JavaPoet引擎/ArchUnit引擎/Extension Router）和数据层（PostgreSQL/Redis/MinIO），部署在Kubernetes容器编排平台上，集成Prometheus+Grafana监控和Nacos注册配置中心。</w:t>
      </w:r>
    </w:p>
    <w:p>
      <w:pPr>
        <w:pStyle w:val="Heading2"/>
      </w:pPr>
      <w:r>
        <w:t>4.2 技术栈选型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层级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技术选型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选型理由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前端框架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React 18 + TypeScript + Monaco Editor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复杂交互界面，类IDE代码编辑体验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API框架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Spring Boot 3.2 + WebFlux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高性能，支持WebSocket实时预览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代码生成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JavaPoet 1.13 + Freemarker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JavaPoet保证类型安全，Freemarker处理模板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AI层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OpenAI GPT-4 / Claude 3 / 本地CodeLlama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多模型适配，企业可离线部署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DSL解析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ANTLR4 + JSON Schema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工业级语法解析，IDE友好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架构守护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ArchUnit 1.2 + ASM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字节码级分析，支持复杂依赖检测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数据库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PostgreSQL 15+ / 达梦8 / 人大金仓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事务支持、JSONB灵活性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缓存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Redis 7.0+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高性能缓存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消息队列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RocketMQ 5.1+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高可靠消息投递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容器编排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Kubernetes 1.24+ + Helm 3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云原生标准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监控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Prometheus + Grafana + SkyWalking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指标、日志、链路追踪</w:t>
            </w:r>
          </w:p>
        </w:tc>
      </w:tr>
    </w:tbl>
    <w:p>
      <w:pPr>
        <w:pStyle w:val="Heading2"/>
      </w:pPr>
      <w:r>
        <w:t>4.3 分层架构</w:t>
      </w:r>
    </w:p>
    <w:p>
      <w:pPr>
        <w:pStyle w:val="Heading3"/>
      </w:pPr>
      <w:r>
        <w:t>4.3.1 前端层</w:t>
      </w:r>
    </w:p>
    <w:p>
      <w:r>
        <w:t>采用React 18 + TypeScript + Monaco Editor构建Studio UI，支持复杂交互界面和类IDE代码编辑体验。同时提供IntelliJ Plugin和VSCode Plugin，覆盖开发者常用IDE环境。</w:t>
      </w:r>
    </w:p>
    <w:p>
      <w:pPr>
        <w:pStyle w:val="Heading3"/>
      </w:pPr>
      <w:r>
        <w:t>4.3.2 接入层</w:t>
      </w:r>
    </w:p>
    <w:p>
      <w:r>
        <w:t>基于Spring Cloud Gateway统一接入，负责路由转发、负载均衡、认证鉴权和限流熔断。所有外部请求通过API Gateway进入后端服务。</w:t>
      </w:r>
    </w:p>
    <w:p>
      <w:pPr>
        <w:pStyle w:val="Heading3"/>
      </w:pPr>
      <w:r>
        <w:t>4.3.3 应用层</w:t>
      </w:r>
    </w:p>
    <w:p>
      <w:r>
        <w:t>按业务领域划分为5个核心服务：studio-api（REST/WebSocket通用接口）、studio-ai（LLM适配器）、studio-generator（代码工厂）、studio-guard（架构守护）、studio-metadata（元数据运行时）。各服务独立部署，通过消息队列异步通信。</w:t>
      </w:r>
    </w:p>
    <w:p>
      <w:pPr>
        <w:pStyle w:val="Heading3"/>
      </w:pPr>
      <w:r>
        <w:t>4.3.4 引擎层</w:t>
      </w:r>
    </w:p>
    <w:p>
      <w:r>
        <w:t>提供4大核心引擎：Bone AI Pipeline（意图解析+DSL转换）、JavaPoet引擎（类型安全代码生成）、ArchUnit引擎（架构规则执行）、Extension Router（扩展点路由）。引擎层为应用层提供底层能力支撑。</w:t>
      </w:r>
    </w:p>
    <w:p>
      <w:pPr>
        <w:pStyle w:val="Heading3"/>
      </w:pPr>
      <w:r>
        <w:t>4.3.5 数据层</w:t>
      </w:r>
    </w:p>
    <w:p>
      <w:r>
        <w:t>采用多存储策略：PostgreSQL存储元数据和项目信息（利用JSONB支持灵活元数据），Redis提供高速缓存，MinIO提供制品和日志的对象存储。</w:t>
      </w:r>
    </w:p>
    <w:p>
      <w:pPr>
        <w:pStyle w:val="Heading2"/>
      </w:pPr>
      <w:r>
        <w:t>4.4 核心API定义</w:t>
      </w:r>
    </w:p>
    <w:p>
      <w:r>
        <w:t>模块生成API：POST /api/v1/modules/generate，请求体包含description（自然语言描述）、cqrsLevel（L1/L2/L3）、aggregates（聚合根定义），响应返回moduleId、status、downloadUrl和guardReport（含score和violations列表）。</w:t>
      </w:r>
    </w:p>
    <w:p>
      <w:pPr>
        <w:pStyle w:val="Heading1"/>
      </w:pPr>
      <w:r>
        <w:t>第五章 领域驱动设计（DDD）规范</w:t>
      </w:r>
      <w:bookmarkStart w:name="_Toc005" w:id="6"/>
      <w:bookmarkEnd w:id="6"/>
    </w:p>
    <w:p>
      <w:pPr>
        <w:pStyle w:val="Heading2"/>
      </w:pPr>
      <w:r>
        <w:t>5.1 DDD实施框架</w:t>
      </w:r>
    </w:p>
    <w:p>
      <w:r>
        <w:t>系统严格遵循领域驱动设计方法论，采用战术设计和战略设计双维度推进。战略层面通过限界上下文划分服务边界，战术层面通过聚合根、实体、值对象构建领域模型。Bone-Blueprint v14.3作为企业级DDD+CQRS+六边形架构工程规范，是全部代码生成的准绳。</w:t>
      </w:r>
    </w:p>
    <w:p>
      <w:pPr>
        <w:pStyle w:val="Heading2"/>
      </w:pPr>
      <w:r>
        <w:t>5.2 限界上下文划分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限界上下文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职责范围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核心领域概念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ArchitectureGovernance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限界上下文设计、AI建模、脚手架生成、Guard守护、CQRS分级、扩展点市场、渐进演进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BlueprintTemplate, DDDModule, GuardRule, ExtensionPoint, MigrationPlan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MetadataFactory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实体建模、代码生成、模板管理、主数据、集成引擎、插件管理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MetaEntity, CodeTemplate, MasterData, Connector, Plugin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IAM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账户、角色、权限、审计、多租户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Account, Role, Permission, AuditLog, Tenant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SystemManagement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配置、监控、日志、K8s部署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SystemConfig, MonitorAlert, LogEntry, DeployJob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Console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工作台、仪表盘、全局搜索、AI Copilot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Dashboard, Widget, QuickAction, SearchIndex</w:t>
            </w:r>
          </w:p>
        </w:tc>
      </w:tr>
    </w:tbl>
    <w:p>
      <w:pPr>
        <w:pStyle w:val="Heading2"/>
      </w:pPr>
      <w:r>
        <w:t>5.3 聚合根设计规范</w:t>
      </w:r>
    </w:p>
    <w:p>
      <w:r>
        <w:t>每个聚合根满足以下约束：封装一组一致变更的对象边界；通过根实体统一对外访问；内部对象只能通过聚合根引用；跨聚合引用使用唯一标识（ID）而非对象引用；一个事务只修改一个聚合。</w:t>
      </w:r>
    </w:p>
    <w:p>
      <w:pPr>
        <w:pStyle w:val="Heading3"/>
      </w:pPr>
      <w:r>
        <w:t>5.3.1 聚合根清单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聚合根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所属上下文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包含实体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业务规则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BlueprintTemplate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ArchitectureGovernance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TemplateRule, TemplateVersion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版本唯一性、规则完整性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DDDModule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ArchitectureGovernance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AggregateRoot, ValueObject, DomainEvent, ExtensionPoint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命名规范、CQRS等级一致性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MetaEntity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MetadataFactory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MetaField, MetaRelation, ValidationRule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命名唯一性、循环依赖检测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MasterDataEntity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MetadataFactory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DataQualityRule, DataRecord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类型一致性、质量规则有效性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Account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IAM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Profile, Credential, Session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密码策略、登录锁定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Tenant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IAM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Member, RoleAssignment, ResourceQuota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层级深度限制、管理员唯一</w:t>
            </w:r>
          </w:p>
        </w:tc>
      </w:tr>
    </w:tbl>
    <w:p>
      <w:pPr>
        <w:pStyle w:val="Heading2"/>
      </w:pPr>
      <w:r>
        <w:t>5.4 实体与值对象</w:t>
      </w:r>
    </w:p>
    <w:p>
      <w:pPr>
        <w:pStyle w:val="Heading3"/>
      </w:pPr>
      <w:r>
        <w:t>5.4.1 实体（Entity）</w:t>
      </w:r>
    </w:p>
    <w:p>
      <w:r>
        <w:t>实体具有唯一标识和生命周期，支持状态变更追踪。所有实体继承自BaseEntity基类，包含id、createdAt、updatedAt、version字段，通过乐观锁（version字段）实现并发控制。</w:t>
      </w:r>
    </w:p>
    <w:p>
      <w:pPr>
        <w:pStyle w:val="Heading3"/>
      </w:pPr>
      <w:r>
        <w:t>5.4.2 值对象（Value Object）</w:t>
      </w:r>
    </w:p>
    <w:p>
      <w:r>
        <w:t>值对象无独立标识，通过属性值判定相等性，一旦创建即不可变（Immutable）。典型值对象包括：EmailAddress（含格式校验）、Money（金额+币种）、Address（结构化地址）、TimeRange（起止时间）、SnowflakeId（雪花算法ID）。</w:t>
      </w:r>
    </w:p>
    <w:p>
      <w:pPr>
        <w:pStyle w:val="Heading2"/>
      </w:pPr>
      <w:r>
        <w:t>5.5 领域事件</w:t>
      </w:r>
    </w:p>
    <w:p>
      <w:r>
        <w:t>领域事件用于聚合间通信和跨边界通知。事件命名遵循过去时态，如DDDModuleCreated、MetaEntityUpdated、AccountLoggedIn。事件携带发生时的上下文信息（时间、操作人、变更内容），通过RocketMQ消息队列异步分发。</w:t>
      </w:r>
    </w:p>
    <w:p>
      <w:pPr>
        <w:pStyle w:val="Heading2"/>
      </w:pPr>
      <w:r>
        <w:t>5.6 领域服务</w:t>
      </w:r>
    </w:p>
    <w:p>
      <w:r>
        <w:t>领域服务处理不适合放在实体或值对象中的跨领域逻辑。核心领域服务包括：TenantProvisioningService（租户开通，涉及多聚合协调）、ArchitectureEvaluationService（架构评估，分析项目健康分）、DataQualityCheckService（数据质量检查，执行质量规则）。</w:t>
      </w:r>
    </w:p>
    <w:p>
      <w:pPr>
        <w:pStyle w:val="Heading1"/>
      </w:pPr>
      <w:r>
        <w:t>第六章 CQRS与事件驱动架构</w:t>
      </w:r>
      <w:bookmarkStart w:name="_Toc006" w:id="7"/>
      <w:bookmarkEnd w:id="7"/>
    </w:p>
    <w:p>
      <w:pPr>
        <w:pStyle w:val="Heading2"/>
      </w:pPr>
      <w:r>
        <w:t>6.1 CQRS架构模式</w:t>
      </w:r>
    </w:p>
    <w:p>
      <w:r>
        <w:t>系统采用完整的CQRS模式，将读模型（Query）和写模型（Command）彻底分离。Command端负责业务逻辑处理和状态变更，Query端负责数据查询和视图构建。CQRS分为三级：L1（标准，Repository保留基础CRUD）、L2（局部，复杂查询抽离到QueryHandler）、L3（完整，完全分离Command和Query数据库）。</w:t>
      </w:r>
    </w:p>
    <w:p>
      <w:pPr>
        <w:pStyle w:val="Heading2"/>
      </w:pPr>
      <w:r>
        <w:t>6.2 四级架构铁律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铁律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规则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检测方式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CI行为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铁律1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依赖方向：Domain层不依赖Adapter/Infrastructure层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ArchUnit noClasses().that().resideInAPackage("..domain..")..should().dependOnClassesThat().resideInAPackage("..adapter..")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阻断构建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铁律2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Domain纯净度：禁止Spring/JPA注解出现在Domain层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ArchUnit扫描Domain包下所有注解，白名单仅允许lombok基础注解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阻断构建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铁律3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充血模型：禁止在Application Service/Handler中写if-else状态判断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ArchUnit检测Application层是否直接读取Entity状态字段进行分支判断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阻断构建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铁律4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ACL防腐层：禁止在Application Service中直接调用外部FeignClient/HTTP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ArchUnit检测Application层是否依赖非Gateway接口的外部调用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阻断构建</w:t>
            </w:r>
          </w:p>
        </w:tc>
      </w:tr>
    </w:tbl>
    <w:p>
      <w:pPr>
        <w:pStyle w:val="Heading2"/>
      </w:pPr>
      <w:r>
        <w:t>6.3 Command端设计</w:t>
      </w:r>
    </w:p>
    <w:p>
      <w:r>
        <w:t>所有命令继承自BaseCommand，包含操作人ID、租户ID、操作时间戳和幂等键（Idempotency Key）。命令通过CommandBus分发，由对应的CommandHandler处理。命令处理遵循Unit of Work模式，确保事务一致性。</w:t>
      </w:r>
    </w:p>
    <w:p>
      <w:pPr>
        <w:pStyle w:val="Heading3"/>
      </w:pPr>
      <w:r>
        <w:t>6.3.1 命令清单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命令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目标聚合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副作用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事件产出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CreateBlueprintTemplateCmd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BlueprintTemplate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创建模板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BlueprintTemplateCreated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GenerateDDDModuleCmd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DDDModule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生成代码结构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DDDModuleGenerated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EvaluateArchitectureCmd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ArchitectureGovernance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执行架构评估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ArchitectureEvaluated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CreateMetaEntityCmd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MetaEntity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创建实体定义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MetaEntityCreated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GenerateCodeCmd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MetaEntity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触发代码生成任务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CodeGenerated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AssignRoleCmd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Tenant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更新权限缓存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RoleAssigned</w:t>
            </w:r>
          </w:p>
        </w:tc>
      </w:tr>
    </w:tbl>
    <w:p>
      <w:pPr>
        <w:pStyle w:val="Heading2"/>
      </w:pPr>
      <w:r>
        <w:t>6.4 Query端设计</w:t>
      </w:r>
    </w:p>
    <w:p>
      <w:r>
        <w:t>查询端采用专用读模型（Read Model），通过事件投影（Event Projection）从写模型同步数据。支持多维度查询：全文搜索（PostgreSQL tsvector）、关系查询（PostgreSQL JSONB）、缓存查询（Redis）。查询对象使用DTO而非领域实体，避免暴露内部结构。</w:t>
      </w:r>
    </w:p>
    <w:p>
      <w:pPr>
        <w:pStyle w:val="Heading2"/>
      </w:pPr>
      <w:r>
        <w:t>6.5 事件溯源（Event Sourcing）</w:t>
      </w:r>
    </w:p>
    <w:p>
      <w:r>
        <w:t>关键业务数据（如权限变更、审计日志、架构评估历史）采用事件溯源模式。不存储当前状态，而是存储所有状态变更事件的完整序列。通过回放事件重建任意时间点的状态。事件存储使用PostgreSQL专用表，支持快照（Snapshot）优化回放性能。</w:t>
      </w:r>
    </w:p>
    <w:p>
      <w:pPr>
        <w:pStyle w:val="Heading2"/>
      </w:pPr>
      <w:r>
        <w:t>6.6 消息队列</w:t>
      </w:r>
    </w:p>
    <w:p>
      <w:r>
        <w:t>使用RocketMQ作为消息总线，采用Topic模式实现发布-订阅。关键业务事件（如模块生成、架构评估）通过消息总线异步通知相关服务。消息投递保证至少一次（At-Least-Once），消费者通过幂等处理保证最终一致性。死信队列（DLQ）处理失败消息，支持重试和人工干预。</w:t>
      </w:r>
    </w:p>
    <w:p>
      <w:pPr>
        <w:pStyle w:val="Heading1"/>
      </w:pPr>
      <w:r>
        <w:t>第七章 多租户架构设计</w:t>
      </w:r>
      <w:bookmarkStart w:name="_Toc007" w:id="8"/>
      <w:bookmarkEnd w:id="8"/>
    </w:p>
    <w:p>
      <w:pPr>
        <w:pStyle w:val="Heading2"/>
      </w:pPr>
      <w:r>
        <w:t>7.1 多租户策略</w:t>
      </w:r>
    </w:p>
    <w:p>
      <w:r>
        <w:t>系统采用Shared Database + Shared Schema的多租户策略，通过tenant_id字段实现数据隔离。该策略在成本和隔离性之间取得平衡，适合SaaS场景。对于VIP企业级租户，支持独立Schema和独立数据库的升级隔离策略。</w:t>
      </w:r>
    </w:p>
    <w:p>
      <w:pPr>
        <w:pStyle w:val="Heading2"/>
      </w:pPr>
      <w:r>
        <w:t>7.2 租户上下文</w:t>
      </w:r>
    </w:p>
    <w:p>
      <w:r>
        <w:t>租户上下文（Tenant Context）贯穿整个请求生命周期。请求到达时通过TenantResolver从Header（X-Tenant-ID）、JWT Token或域名解析租户标识。租户上下文存储在AsyncLocal中，自动传递给异步调用链。所有数据库操作自动附加tenant_id过滤条件，确保数据隔离。</w:t>
      </w:r>
    </w:p>
    <w:p>
      <w:pPr>
        <w:pStyle w:val="Heading2"/>
      </w:pPr>
      <w:r>
        <w:t>7.3 租户隔离机制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隔离级别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实现方式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适用场景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行级隔离（默认）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Shared DB + Shared Schema + tenant_id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标准租户，成本敏感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Schema隔离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Shared DB + Independent Schema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VIP租户，需要更强隔离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数据库隔离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Independent DB Instance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企业级租户，合规要求</w:t>
            </w:r>
          </w:p>
        </w:tc>
      </w:tr>
    </w:tbl>
    <w:p>
      <w:pPr>
        <w:pStyle w:val="Heading2"/>
      </w:pPr>
      <w:r>
        <w:t>7.4 租户生命周期</w:t>
      </w:r>
    </w:p>
    <w:p>
      <w:r>
        <w:t>租户生命周期包括：注册（生成租户ID、初始化Schema、创建默认管理员）、开通（分配资源配额、启用服务、加载配置）、运行（监控用量、自动扩缩容）、暂停（保留数据、暂停服务）、注销（数据归档、资源回收）。租户开通通过事件驱动异步完成。</w:t>
      </w:r>
    </w:p>
    <w:p>
      <w:pPr>
        <w:pStyle w:val="Heading2"/>
      </w:pPr>
      <w:r>
        <w:t>7.5 资源配额与限流</w:t>
      </w:r>
    </w:p>
    <w:p>
      <w:r>
        <w:t>每个租户有独立的资源配额：数据库存储空间、API调用次数/分钟、并发连接数、文件存储空间、AI调用Token数。超限后触发熔断：软限制（告警+降速）和硬限制（拒绝请求）。配额管理通过Redis计数器实时统计，支持弹性扩容。</w:t>
      </w:r>
    </w:p>
    <w:p>
      <w:pPr>
        <w:pStyle w:val="Heading1"/>
      </w:pPr>
      <w:r>
        <w:t>第八章 前端架构设计</w:t>
      </w:r>
      <w:bookmarkStart w:name="_Toc008" w:id="9"/>
      <w:bookmarkEnd w:id="9"/>
    </w:p>
    <w:p>
      <w:pPr>
        <w:pStyle w:val="Heading2"/>
      </w:pPr>
      <w:r>
        <w:t>8.1 微前端架构</w:t>
      </w:r>
    </w:p>
    <w:p>
      <w:r>
        <w:t>采用Module Federation 2.0实现去中心化微前端架构。基座应用（Base App）提供统一布局、导航框架和公共库，各业务模块作为独立微应用（Micro-App）动态加载。每个微应用可独立开发、独立部署、独立运行。</w:t>
      </w:r>
    </w:p>
    <w:p>
      <w:pPr>
        <w:pStyle w:val="Heading2"/>
      </w:pPr>
      <w:r>
        <w:t>8.2 模块联邦配置</w:t>
      </w:r>
    </w:p>
    <w:p>
      <w:r>
        <w:t>基座暴露共享库（react、antd、zustand等），各模块通过Module Federation远程加载共享依赖。Type-safe Module Federation确保类型安全，编译时类型检查跨模块生效。共享依赖采用Singleton模式，确保状态管理一致性。</w:t>
      </w:r>
    </w:p>
    <w:p>
      <w:pPr>
        <w:pStyle w:val="Heading2"/>
      </w:pPr>
      <w:r>
        <w:t>8.3 状态管理</w:t>
      </w:r>
    </w:p>
    <w:p>
      <w:pPr>
        <w:pStyle w:val="Heading3"/>
      </w:pPr>
      <w:r>
        <w:t>8.3.1 全局状态</w:t>
      </w:r>
    </w:p>
    <w:p>
      <w:r>
        <w:t>使用Zustand管理全局状态，按领域划分Store：AuthStore（认证状态）、TenantStore（租户信息）、UIStore（界面状态）、PermissionStore（权限缓存）。状态持久化通过Middleware实现，支持SessionStorage和LocalStorage。</w:t>
      </w:r>
    </w:p>
    <w:p>
      <w:pPr>
        <w:pStyle w:val="Heading3"/>
      </w:pPr>
      <w:r>
        <w:t>8.3.2 服务端状态</w:t>
      </w:r>
    </w:p>
    <w:p>
      <w:r>
        <w:t>使用TanStack Query管理服务端状态，支持缓存、重试、轮询、乐观更新。Mutation成功后自动失效相关Query缓存，保持客户端与服务端数据一致。</w:t>
      </w:r>
    </w:p>
    <w:p>
      <w:pPr>
        <w:pStyle w:val="Heading2"/>
      </w:pPr>
      <w:r>
        <w:t>8.4 组件设计规范</w:t>
      </w:r>
    </w:p>
    <w:p>
      <w:pPr>
        <w:pStyle w:val="Heading3"/>
      </w:pPr>
      <w:r>
        <w:t>8.4.1 组件分层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层级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职责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示例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基础组件（Base）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纯UI渲染，无业务逻辑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Button, Input, Modal, Table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业务组件（Business）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封装特定业务逻辑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DataForm, DataTable, ApiDesigner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页面组件（Page）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页面级组装，协调数据流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MetaObjectListPage, DashboardPage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布局组件（Layout）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页面骨架和导航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SidebarLayout, TopNavLayout</w:t>
            </w:r>
          </w:p>
        </w:tc>
      </w:tr>
    </w:tbl>
    <w:p>
      <w:pPr>
        <w:pStyle w:val="Heading3"/>
      </w:pPr>
      <w:r>
        <w:t>8.4.2 数据流规范</w:t>
      </w:r>
    </w:p>
    <w:p>
      <w:r>
        <w:t>组件间通信遵循单向数据流原则：Props向下传递，Events向上冒泡。跨组件状态通过Zustand Store共享。异步操作使用TanStack Query的useQuery和useMutation，避免直接在组件中管理异步状态。</w:t>
      </w:r>
    </w:p>
    <w:p>
      <w:pPr>
        <w:pStyle w:val="Heading2"/>
      </w:pPr>
      <w:r>
        <w:t>8.5 路由设计</w:t>
      </w:r>
    </w:p>
    <w:p>
      <w:r>
        <w:t>采用React Router v7，支持Layout路由、嵌套路由和动态路由。路由配置集中管理，通过权限守卫（AuthGuard + PermissionGuard）控制访问。微应用路由通过基座的BrowserRouter统一管理，各模块使用Outlet渲染子路由。</w:t>
      </w:r>
    </w:p>
    <w:p>
      <w:pPr>
        <w:pStyle w:val="Heading2"/>
      </w:pPr>
      <w:r>
        <w:t>8.6 UI规范</w:t>
      </w:r>
    </w:p>
    <w:p>
      <w:r>
        <w:t>基于Ant Design 5组件库，定制主题Token实现品牌一致性。支持亮色/暗色主题切换，通过ConfigProvider动态切换。组件尺寸遵循4px/8px倍数规范，间距使用Design Token（xs=8, sm=16, md=24, lg=32, xl=48）。支持Markdown/富文本渲染和代码语法高亮（Monaco Editor）。</w:t>
      </w:r>
    </w:p>
    <w:p>
      <w:pPr>
        <w:pStyle w:val="Heading1"/>
      </w:pPr>
      <w:r>
        <w:t>第九章 统一控制台与仪表盘</w:t>
      </w:r>
      <w:bookmarkStart w:name="_Toc009" w:id="10"/>
      <w:bookmarkEnd w:id="10"/>
    </w:p>
    <w:p>
      <w:pPr>
        <w:pStyle w:val="Heading2"/>
      </w:pPr>
      <w:r>
        <w:t>9.1 模块概述</w:t>
      </w:r>
    </w:p>
    <w:p>
      <w:r>
        <w:t>统一控制台与仪表盘模块是用户进入系统的首个界面，提供全局导航、快捷操作、数据概览和个性化定制能力。核心功能包括：全局搜索、消息通知中心、可定制仪表盘、快速操作面板和最近访问记录。</w:t>
      </w:r>
    </w:p>
    <w:p>
      <w:pPr>
        <w:pStyle w:val="Heading2"/>
      </w:pPr>
      <w:r>
        <w:t>9.2 核心功能设计</w:t>
      </w:r>
    </w:p>
    <w:p>
      <w:pPr>
        <w:pStyle w:val="Heading3"/>
      </w:pPr>
      <w:r>
        <w:t>9.2.1 统一工作台</w:t>
      </w:r>
    </w:p>
    <w:p>
      <w:r>
        <w:t>作为所有用户，通过统一入口访问架构治理和元数据应用两大核心能力，系统根据角色智能推荐常用功能。核心开发登录后首页突出显示AI业务建模入口、服务架构健康分、待办Guard告警；业务开发登录后首页突出显示可视化实体建模入口、最近生成的应用、主数据质量报告。工作台支持自定义布局，拖拽卡片排序。</w:t>
      </w:r>
    </w:p>
    <w:p>
      <w:pPr>
        <w:pStyle w:val="Heading3"/>
      </w:pPr>
      <w:r>
        <w:t>9.2.2 全局搜索</w:t>
      </w:r>
    </w:p>
    <w:p>
      <w:r>
        <w:t>支持跨模块全文搜索，可搜索元数据对象、主数据记录、API端点、插件和文档。搜索结果按类型分组展示，支持快捷键（Cmd+K）唤起。搜索使用PostgreSQL tsvector全文索引，支持模糊匹配和关键词高亮。</w:t>
      </w:r>
    </w:p>
    <w:p>
      <w:pPr>
        <w:pStyle w:val="Heading3"/>
      </w:pPr>
      <w:r>
        <w:t>9.2.3 通知中心</w:t>
      </w:r>
    </w:p>
    <w:p>
      <w:r>
        <w:t>通知中心聚合系统消息、操作提醒和AI建议。支持通知分级（紧急、重要、普通、低优先级），支持已读/未读管理和批量操作。通知通过WebSocket实时推送，离线通知存储在数据库，上线后批量拉取。</w:t>
      </w:r>
    </w:p>
    <w:p>
      <w:pPr>
        <w:pStyle w:val="Heading3"/>
      </w:pPr>
      <w:r>
        <w:t>9.2.4 仪表盘定制</w:t>
      </w:r>
    </w:p>
    <w:p>
      <w:r>
        <w:t>用户可自定义仪表盘布局，通过拖拽添加/移除/调整Widget。内置Widget库包括：统计卡片（KPI概览）、趋势图表（折线图/柱状图）、快捷入口（九宫格）、最近动态（时间线）、AI助手（快捷对话）。布局配置保存在用户偏好中，支持多仪表盘切换。</w:t>
      </w:r>
    </w:p>
    <w:p>
      <w:pPr>
        <w:pStyle w:val="Heading2"/>
      </w:pPr>
      <w:r>
        <w:t>9.3 数据模型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实体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核心字段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说明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Dashboard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id, name, layout, widgets, isDefault, tenantId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仪表盘定义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Widget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id, type, config, position, size, dataSource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组件配置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QuickAction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id, icon, label, actionType, target, sortOrder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快捷操作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RecentItem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id, itemType, itemId, title, accessedAt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最近访问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Notification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id, type, title, content, level, read, createdAt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通知消息</w:t>
            </w:r>
          </w:p>
        </w:tc>
      </w:tr>
    </w:tbl>
    <w:p>
      <w:pPr>
        <w:pStyle w:val="Heading2"/>
      </w:pPr>
      <w:r>
        <w:t>9.4 AI集成</w:t>
      </w:r>
    </w:p>
    <w:p>
      <w:r>
        <w:t>仪表盘集成AI Copilot悬浮入口，支持快捷提问和上下文感知建议。AI根据用户行为推荐常用操作（如您最近频繁访问元数据管理，是否需要创建快捷入口），并根据仪表盘数据提供智能洞察（如本周API调用量较上周增长35%）。</w:t>
      </w:r>
    </w:p>
    <w:p>
      <w:pPr>
        <w:pStyle w:val="Heading1"/>
      </w:pPr>
      <w:r>
        <w:t>第十章 架构治理中心</w:t>
      </w:r>
      <w:bookmarkStart w:name="_Toc010" w:id="11"/>
      <w:bookmarkEnd w:id="11"/>
    </w:p>
    <w:p>
      <w:pPr>
        <w:pStyle w:val="Heading2"/>
      </w:pPr>
      <w:r>
        <w:t>10.1 模块概述</w:t>
      </w:r>
    </w:p>
    <w:p>
      <w:r>
        <w:t>架构治理中心是BONE X Studio的核心A引擎，面向核心开发者和架构师。提供限界上下文可视化设计器、AI业务建模引擎、DDD脚手架生成器、架构守护系统（7项铁律检测）、CQRS智能分级引擎、扩展点市场和渐进式演进控制台七大核心能力。</w:t>
      </w:r>
    </w:p>
    <w:p>
      <w:pPr>
        <w:pStyle w:val="Heading2"/>
      </w:pPr>
      <w:r>
        <w:t>10.2 限界上下文可视化设计器（ARCH-001）</w:t>
      </w:r>
    </w:p>
    <w:p>
      <w:r>
        <w:t>作为架构师，通过拖拽方式设计限界上下文、聚合根、实体关系，系统自动生成符合Bone-Blueprint规范的代码结构。核心功能包括：组件库（聚合根、实体、值对象、领域事件拖拽）、关系连线（一对一/一对多/多对多）、实时校验（循环依赖检测、命名规范检查）、代码预览（自动生成目录结构和文件预览）。</w:t>
      </w:r>
    </w:p>
    <w:p>
      <w:pPr>
        <w:pStyle w:val="Heading2"/>
      </w:pPr>
      <w:r>
        <w:t>10.3 AI业务建模引擎（ARCH-002）</w:t>
      </w:r>
    </w:p>
    <w:p>
      <w:r>
        <w:t>作为核心开发，输入自然语言需求，AI自动生成符合Bone-Blueprint v14.3规范的完整业务模块，且100%通过架构守护校验。输入示例：实现订单支付功能，支持VIP折扣、库存校验、超时取消。AI在30秒内返回：限界上下文order、聚合根Order（含pay/cancel行为）、扩展点OrderPriceCalculatorExtPoint、防腐层InventoryGateway/PaymentGateway、CQRS等级L2建议。</w:t>
      </w:r>
    </w:p>
    <w:p>
      <w:pPr>
        <w:pStyle w:val="Heading3"/>
      </w:pPr>
      <w:r>
        <w:t>10.3.1 Guarded Generation自动修正</w:t>
      </w:r>
    </w:p>
    <w:p>
      <w:r>
        <w:t>AI初次生成的代码可能包含违规（如Domain层@Data注解），系统自动识别违规（铁律2：Domain层禁止lombok @Data），自动替换为@Getter + @NoArgsConstructor(access = PRIVATE)，二次校验通过后输出最终代码。确保所有AI生成代码100%通过Guard校验。</w:t>
      </w:r>
    </w:p>
    <w:p>
      <w:pPr>
        <w:pStyle w:val="Heading2"/>
      </w:pPr>
      <w:r>
        <w:t>10.4 DDD脚手架生成器（ARCH-003）</w:t>
      </w:r>
    </w:p>
    <w:p>
      <w:r>
        <w:t>通过CLI或UI一键生成符合Bone-Blueprint的四层架构代码。L1简单模块生成文件数&lt;=7个（Controller、Command/Handler、聚合根、Repository），不包含QueryHandler和Projection。L2复杂模块额外生成PageQuery/Handler、Projection、NativeQueryRepository和SQL文件，Repository接口仅保留findById、existsByXxx、save。</w:t>
      </w:r>
    </w:p>
    <w:p>
      <w:pPr>
        <w:pStyle w:val="Heading2"/>
      </w:pPr>
      <w:r>
        <w:t>10.5 架构守护系统（ARCH-004~ARCH-010）</w:t>
      </w:r>
    </w:p>
    <w:p>
      <w:r>
        <w:t>架构守护系统基于ArchUnit实现7项铁律检测，在CI流水线中自动阻断违规代码合并。检测规则包括：依赖方向强制校验（Domain层反向依赖Adapter层则构建失败）、Domain纯净度检测（Domain层出现Spring/JPA注解则阻断）、充血模型反贫血检测（Handler中直接读取Entity状态分支则阻断）、ACL防腐层强制检测（直接注入FeignClient则阻断）、命名规范扫描（Application层禁止Service命名）、CQRS合规性检测（L2模块Repository查询方法超限则警告）、扩展点规范检测（扩展点接口必须在domain.extension包下）。</w:t>
      </w:r>
    </w:p>
    <w:p>
      <w:pPr>
        <w:pStyle w:val="Heading2"/>
      </w:pPr>
      <w:r>
        <w:t>10.6 CQRS智能分级引擎（ARCH-011）</w:t>
      </w:r>
    </w:p>
    <w:p>
      <w:r>
        <w:t>系统自动分析模块查询复杂度，自动建议L1/L2/L3升级路径。当Repository存在3个以上查询条件+分页时，系统警告并建议升级至L2，同时自动生成OrderPageQueryHandler和OrderPageQuery。分级策略：L1（简单CRUD，Repository保留基础方法）、L2（复杂查询，抽离QueryHandler）、L3（完整分离，独立Query数据库）。</w:t>
      </w:r>
    </w:p>
    <w:p>
      <w:pPr>
        <w:pStyle w:val="Heading2"/>
      </w:pPr>
      <w:r>
        <w:t>10.7 扩展点市场（ARCH-012）</w:t>
      </w:r>
    </w:p>
    <w:p>
      <w:r>
        <w:t>企业级扩展能力复用平台，支持将通用扩展能力发布至Marketplace供其他团队复用。核心功能：插件发布（上传后自动提取元数据、生成文档和接入指南）、版本管理（支持灰度发布和一键回滚）、路由配置（多维度路由规则配置）。典型扩展点包括：VIP价格策略、多租户权限策略、自定义字段校验器。</w:t>
      </w:r>
    </w:p>
    <w:p>
      <w:pPr>
        <w:pStyle w:val="Heading2"/>
      </w:pPr>
      <w:r>
        <w:t>10.8 渐进式演进控制台（ARCH-013）</w:t>
      </w:r>
    </w:p>
    <w:p>
      <w:r>
        <w:t>存量系统逐步对齐Bone-Blueprint规范的分阶段演进工具。执行bone evaluate --project legacy-order-service输出架构健康分评估报告（如35/100），列出主要问题（Domain层@Table注解15处、Service层2000行if-else）和演进建议。执行bone migrate --phase 1自动移除Domain层Spring/JPA注解、创建infrastructure/repository适配层，保持业务逻辑不变。</w:t>
      </w:r>
    </w:p>
    <w:p>
      <w:pPr>
        <w:pStyle w:val="Heading1"/>
      </w:pPr>
      <w:r>
        <w:t>第十一章 元数据应用工厂</w:t>
      </w:r>
      <w:bookmarkStart w:name="_Toc011" w:id="12"/>
      <w:bookmarkEnd w:id="12"/>
    </w:p>
    <w:p>
      <w:pPr>
        <w:pStyle w:val="Heading2"/>
      </w:pPr>
      <w:r>
        <w:t>11.1 模块概述</w:t>
      </w:r>
    </w:p>
    <w:p>
      <w:r>
        <w:t>元数据应用工厂是BONE X Studio的核心B引擎，面向业务开发者、分析师和集成工程师。提供可视化实体建模、代码生成、模板管理、主数据管理、企业集成引擎和插件管理六大核心能力。所有功能基于元数据驱动，可动态生成数据库表、REST API和管理界面。</w:t>
      </w:r>
    </w:p>
    <w:p>
      <w:pPr>
        <w:pStyle w:val="Heading2"/>
      </w:pPr>
      <w:r>
        <w:t>11.2 可视化实体建模器（APP-001）</w:t>
      </w:r>
    </w:p>
    <w:p>
      <w:r>
        <w:t>通过拖拽创建业务实体，定义字段、关系和校验规则。支持丰富的字段类型：文本（单行/多行/富文本）、数字（整数/小数/货币）、日期时间、选择项（单选/多选/级联）、关联关系（一对一/一对多/多对多）、文件附件、JSON对象、AI生成字段。每个字段支持校验规则、默认值、占位提示和动态可见性配置。实体支持版本管理和草稿/发布状态流转。</w:t>
      </w:r>
    </w:p>
    <w:p>
      <w:pPr>
        <w:pStyle w:val="Heading2"/>
      </w:pPr>
      <w:r>
        <w:t>11.3 代码生成引擎（APP-002）</w:t>
      </w:r>
    </w:p>
    <w:p>
      <w:r>
        <w:t>基于实体模型一键生成前后端代码，支持多种模板。选择React+Spring Boot模板后，系统自动生成：前端CRUD页面（含列表/表单/详情）、后端Controller/Service/DAO/Entity、数据库建表脚本、Swagger API文档。生成代码自动注入Bone-Blueprint架构合规性（DDD分层、CQRS模式、命名规范）。</w:t>
      </w:r>
    </w:p>
    <w:p>
      <w:pPr>
        <w:pStyle w:val="Heading2"/>
      </w:pPr>
      <w:r>
        <w:t>11.4 模板管理（APP-003）</w:t>
      </w:r>
    </w:p>
    <w:p>
      <w:r>
        <w:t>管理代码生成模板，支持自定义模板创建和版本管理。创建模板时填写名称、类型（前端/后端/全栈）、引擎（Freemarker/JavaPoet）和内容。模板保存后进入草稿状态，支持预览（选择示例实体渲染代码片段，支持语法高亮和错误提示）。版本管理保留最近5个版本，支持版本回滚。</w:t>
      </w:r>
    </w:p>
    <w:p>
      <w:pPr>
        <w:pStyle w:val="Heading2"/>
      </w:pPr>
      <w:r>
        <w:t>11.5 主数据管理（APP-004~006）</w:t>
      </w:r>
    </w:p>
    <w:p>
      <w:r>
        <w:t>主数据管理（MDM）提供企业级主数据治理能力。主数据实体管理：将业务实体转换为主数据实体（entity_type变为MASTER_DATA），配置数据质量规则（唯一性、格式、范围校验）。数据质量管理：执行质量检查生成质量报告，显示问题数量和严重程度。主数据记录管理：支持Excel/CSV导入导出，导入数据进入草稿状态，审核后发布。</w:t>
      </w:r>
    </w:p>
    <w:p>
      <w:pPr>
        <w:pStyle w:val="Heading2"/>
      </w:pPr>
      <w:r>
        <w:t>11.6 企业集成引擎（APP-007~009）</w:t>
      </w:r>
    </w:p>
    <w:p>
      <w:r>
        <w:t>基于Apache Camel内核的可视化集成引擎。连接器管理：预置50+连接器（REST/SOAP/Kafka/ERP/CRM/消息队列），支持OAuth2认证、连接测试和健康检查。流程编排：拖拽式流程设计（触发器、连接器、数据转换器、条件分支、循环），支持流程测试（输入测试数据验证执行结果和日志）。流程监控：实时查看流程执行状态（运行中/成功/失败）、执行记录和异常告警。</w:t>
      </w:r>
    </w:p>
    <w:p>
      <w:pPr>
        <w:pStyle w:val="Heading2"/>
      </w:pPr>
      <w:r>
        <w:t>11.7 插件管理（APP-010）</w:t>
      </w:r>
    </w:p>
    <w:p>
      <w:r>
        <w:t>基于WebAssembly的插件运行时，支持插件热部署和版本回滚。插件采用标准NPM包格式，通过manifest.json声明信息（名称、版本、依赖、权限、入口点）。插件可扩展页面路由、菜单项、元数据处理器、API端点和事件监听器。插件升级失败自动回滚：v2.0部署后5分钟内3次异常则自动回滚到v1.0并告警。</w:t>
      </w:r>
    </w:p>
    <w:p>
      <w:pPr>
        <w:pStyle w:val="Heading1"/>
      </w:pPr>
      <w:r>
        <w:t>第十二章 统一IAM与权限中台</w:t>
      </w:r>
      <w:bookmarkStart w:name="_Toc012" w:id="13"/>
      <w:bookmarkEnd w:id="13"/>
    </w:p>
    <w:p>
      <w:pPr>
        <w:pStyle w:val="Heading2"/>
      </w:pPr>
      <w:r>
        <w:t>12.1 模块概述</w:t>
      </w:r>
    </w:p>
    <w:p>
      <w:r>
        <w:t>IAM（Identity and Access Management）模块提供完整的身份认证和访问控制能力。基于RBAC（基于角色的访问控制）+ ABAC（基于属性的访问控制）混合模型，支持多租户、单点登录、双因素认证和细粒度权限控制。</w:t>
      </w:r>
    </w:p>
    <w:p>
      <w:pPr>
        <w:pStyle w:val="Heading2"/>
      </w:pPr>
      <w:r>
        <w:t>12.2 用户管理（IAM-001）</w:t>
      </w:r>
    </w:p>
    <w:p>
      <w:r>
        <w:t>支持多种账户类型：本地账户（邮箱+密码）、企业账户（LDAP/AD同步）、社交账户（微信/钉钉/企业微信OAuth）。账户属性包括：基本信息（姓名/邮箱/手机）、安全设置（密码策略/2FA/登录设备管理）、偏好设置（语言/主题/通知）。密码策略：最小8位、复杂度要求（大小写+数字+特殊字符）、定期更换（90天）、历史密码检查（最近5次不可复用）。</w:t>
      </w:r>
    </w:p>
    <w:p>
      <w:pPr>
        <w:pStyle w:val="Heading2"/>
      </w:pPr>
      <w:r>
        <w:t>12.3 角色与权限管理（IAM-002）</w:t>
      </w:r>
    </w:p>
    <w:p>
      <w:r>
        <w:t>采用RBAC+ABAC混合模型。RBAC提供基础角色权限：预设角色包括系统管理员、租户管理员、架构师、核心开发、业务开发、集成工程师、访客，支持自定义角色。ABAC提供细粒度控制：基于资源属性（如实体所属租户）、用户属性（如部门/职级）、环境属性（如时间/IP）的动态权限判断。权限粒度支持到字段级（某角色只能查看客户名称和电话，不能查看地址和收入）。</w:t>
      </w:r>
    </w:p>
    <w:p>
      <w:pPr>
        <w:pStyle w:val="Heading2"/>
      </w:pPr>
      <w:r>
        <w:t>12.4 审计日志（IAM-003）</w:t>
      </w:r>
    </w:p>
    <w:p>
      <w:r>
        <w:t>审计日志记录所有用户操作（操作人、时间、IP、操作内容、资源ID、结果）。社区版日志存储在数据库，保留30天。商业版日志写入WORM存储（对象存储+锁定策略），启用对象锁定保留期180天，锁定期内不可删除或覆盖。支持多维度筛选（时间/模块/级别/关键词）、日志导出和日志告警。</w:t>
      </w:r>
    </w:p>
    <w:p>
      <w:pPr>
        <w:pStyle w:val="Heading2"/>
      </w:pPr>
      <w:r>
        <w:t>12.5 多租户管理（IAM-004）</w:t>
      </w:r>
    </w:p>
    <w:p>
      <w:r>
        <w:t>多租户管理为商业版核心能力。系统管理员创建租户时填写名称、管理员邮箱、资源配额，系统自动生成唯一租户ID并发送激活邮件。租户数据严格隔离：租户A创建的数据租户B无法看到或访问。支持租户级资源配额（数据库存储、API调用、并发连接、AI Token），超限后触发软限制（告警+降速）或硬限制（拒绝请求）。</w:t>
      </w:r>
    </w:p>
    <w:p>
      <w:pPr>
        <w:pStyle w:val="Heading2"/>
      </w:pPr>
      <w:r>
        <w:t>12.6 认证流程</w:t>
      </w:r>
    </w:p>
    <w:p>
      <w:r>
        <w:t>认证采用OAuth2 + JWT方案：用户登录成功后颁发JWT Token（Access Token 15分钟 + Refresh Token 7天），Token包含用户ID、租户ID、角色列表。单点登录通过OAuth2 Authorization Code模式实现，支持企业微信/钉钉/飞书扫码登录。登录安全：5次失败锁定30分钟、异地登录提醒、新设备验证。</w:t>
      </w:r>
    </w:p>
    <w:p>
      <w:pPr>
        <w:pStyle w:val="Heading2"/>
      </w:pPr>
      <w:r>
        <w:t>12.7 数据模型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实体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核心字段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说明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Account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email, passwordHash, status, lastLoginAt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用户账户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Profile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accountId, name, avatar, phone, timezone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用户资料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Organization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name, parentId, tenantId, level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组织架构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Member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accountId, orgId, role, joinedAt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组织成员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Role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name, tenantId, permissions, isSystem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角色定义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Permission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resource, action, condition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权限定义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Session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accountId, token, device, ip, expiresAt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会话记录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AuditLog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actor, action, resource, result, ip, timestamp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审计日志</w:t>
            </w:r>
          </w:p>
        </w:tc>
      </w:tr>
    </w:tbl>
    <w:p>
      <w:pPr>
        <w:pStyle w:val="Heading1"/>
      </w:pPr>
      <w:r>
        <w:t>第十三章 系统管理与运维</w:t>
      </w:r>
      <w:bookmarkStart w:name="_Toc013" w:id="14"/>
      <w:bookmarkEnd w:id="14"/>
    </w:p>
    <w:p>
      <w:pPr>
        <w:pStyle w:val="Heading2"/>
      </w:pPr>
      <w:r>
        <w:t>13.1 模块概述</w:t>
      </w:r>
    </w:p>
    <w:p>
      <w:r>
        <w:t>系统管理模块提供平台级配置和管理能力，包括系统设置、监控告警、日志管理和Kubernetes部署支持。该模块主要面向平台管理员和DevOps工程师。</w:t>
      </w:r>
    </w:p>
    <w:p>
      <w:pPr>
        <w:pStyle w:val="Heading2"/>
      </w:pPr>
      <w:r>
        <w:t>13.2 系统配置（SYS-001）</w:t>
      </w:r>
    </w:p>
    <w:p>
      <w:r>
        <w:t>提供全局配置管理能力，配置项按分组管理：基础设置（平台名称/Logo/版权信息/备案号）、安全设置（登录策略/密码策略/会话超时/IP白名单）、通知设置（邮件SMTP/短信渠道/推送配置）、集成设置（OAuth配置/存储配置/AI密钥）、功能开关（Feature Toggle，按租户/用户灰度）。配置变更记录审计日志，支持配置版本回滚。</w:t>
      </w:r>
    </w:p>
    <w:p>
      <w:pPr>
        <w:pStyle w:val="Heading2"/>
      </w:pPr>
      <w:r>
        <w:t>13.3 监控告警（SYS-002）</w:t>
      </w:r>
    </w:p>
    <w:p>
      <w:r>
        <w:t>集成Prometheus + Grafana实现系统监控。监控维度包括：基础设施（CPU/内存/磁盘/网络）、应用性能（QPS/P99延迟/错误率）、业务指标（生成次数/Guard通过率/AI采纳率）。告警规则支持阈值告警（核心接口错误率&gt;1%持续5分钟触发）和异常检测，告警渠道支持邮件/短信/钉钉/企业微信。Grafana仪表盘预置核心服务监控面板。</w:t>
      </w:r>
    </w:p>
    <w:p>
      <w:pPr>
        <w:pStyle w:val="Heading2"/>
      </w:pPr>
      <w:r>
        <w:t>13.4 日志管理（SYS-003）</w:t>
      </w:r>
    </w:p>
    <w:p>
      <w:r>
        <w:t>日志中心聚合系统运行日志、操作日志和错误日志。所有日志采用结构化JSON格式，支持动态级别调整。支持多维度筛选（时间/模块/级别/关键词）、日志导出和日志告警。操作日志记录所有数据变更（谁、何时、做了什么、结果如何），满足审计合规要求。日志保留策略：运行日志30天、操作日志90天、审计日志180天（商业版WORM）。</w:t>
      </w:r>
    </w:p>
    <w:p>
      <w:pPr>
        <w:pStyle w:val="Heading2"/>
      </w:pPr>
      <w:r>
        <w:t>13.5 Kubernetes部署支持（SYS-004）</w:t>
      </w:r>
    </w:p>
    <w:p>
      <w:r>
        <w:t>提供官方Helm Chart一键部署。执行helm install bone-x ./bone-chart后，系统自动创建所有K8s资源（Deployment/Service/Ingress/ConfigMap/Secret），Pod启动成功后Prometheus自动发现ServiceMonitor，Grafana仪表盘显示核心指标。Chart支持自定义配置：副本数、资源限制（CPU/Memory）、自动扩缩容（HPA minReplicas/maxReplicas/targetCPU）、持久化存储、数据库连接信息和功能开关。</w:t>
      </w:r>
    </w:p>
    <w:p>
      <w:pPr>
        <w:pStyle w:val="Heading2"/>
      </w:pPr>
      <w:r>
        <w:t>13.6 数据模型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实体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核心字段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说明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SystemConfig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key, value, group, description, encrypted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系统配置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FeatureToggle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key, status, tenantScope, userScope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功能开关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MonitorAlert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name, metric, threshold, duration, channels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告警规则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LogEntry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level, module, message, context, timestamp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日志条目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DeployJob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type, status, fileUrl, startedAt, completedAt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部署任务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ScheduledTask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name, cron, handler, status, lastRun, nextRun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定时任务</w:t>
            </w:r>
          </w:p>
        </w:tc>
      </w:tr>
    </w:tbl>
    <w:p>
      <w:pPr>
        <w:pStyle w:val="Heading1"/>
      </w:pPr>
      <w:r>
        <w:t>第十四章 CLI与开发者工具</w:t>
      </w:r>
      <w:bookmarkStart w:name="_Toc014" w:id="15"/>
      <w:bookmarkEnd w:id="15"/>
    </w:p>
    <w:p>
      <w:pPr>
        <w:pStyle w:val="Heading2"/>
      </w:pPr>
      <w:r>
        <w:t>14.1 模块概述</w:t>
      </w:r>
    </w:p>
    <w:p>
      <w:r>
        <w:t>Bone CLI是BONE X Studio的命令行工具，提供统一的命令入口完成项目初始化、模块生成、架构校验、自动修复等所有操作。CLI采用Java开发，支持跨平台（Windows/macOS/Linux），通过Maven/Gradle插件集成到现有构建流程。</w:t>
      </w:r>
    </w:p>
    <w:p>
      <w:pPr>
        <w:pStyle w:val="Heading2"/>
      </w:pPr>
      <w:r>
        <w:t>14.2 核心命令集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命令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功能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示例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init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项目初始化，生成标准四层包结构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init --name order-service --cqrs L2 --tenant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create module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创建DDD模块，一键生成代码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create module order --cqrs L2 --items OrderItem --behaviors pay,cancel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check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架构校验，检测四铁律违规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check --project ./order-service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fix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自动修复架构违规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fix --rule domain-purity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guard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完整Guard守护检测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guard --ci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analyze cqrs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CQRS复杂度分析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analyze cqrs --module order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evaluate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存量项目架构评估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evaluate --project legacy-order-service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migrate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渐进式自动迁移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migrate --phase 1 --project legacy-order-service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marketplace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扩展点市场操作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marketplace search --type price-calculator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config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查看/修改配置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 config set --key ai.model --value gpt-4</w:t>
            </w:r>
          </w:p>
        </w:tc>
      </w:tr>
    </w:tbl>
    <w:p>
      <w:pPr>
        <w:pStyle w:val="Heading2"/>
      </w:pPr>
      <w:r>
        <w:t>14.3 项目初始化</w:t>
      </w:r>
    </w:p>
    <w:p>
      <w:r>
        <w:t>执行bone init --name order-service --cqrs L2 --tenant后，系统生成：标准四层包结构（domain/application/adapter/infrastructure）、BoneBlueprintApplication.java（Spring Boot入口）、DistributedIdGenerator.java（雪花算法）、ArchUnit测试基类（四铁律预配置）、bone.yml配置文件（项目级Blueprint模板引用）。</w:t>
      </w:r>
    </w:p>
    <w:p>
      <w:pPr>
        <w:pStyle w:val="Heading2"/>
      </w:pPr>
      <w:r>
        <w:t>14.4 架构校验与修复</w:t>
      </w:r>
    </w:p>
    <w:p>
      <w:r>
        <w:t>执行bone check后，系统扫描项目代码检测四铁律违规。检测到Domain层@Data注解时，提示违规并提供修复命令bone fix --rule domain-purity，执行后自动替换为@Getter + @NoArgsConstructor(access = PRIVATE)。CI模式下（--ci flag）检测到违规则返回非零退出码，阻断流水线。</w:t>
      </w:r>
    </w:p>
    <w:p>
      <w:pPr>
        <w:pStyle w:val="Heading1"/>
      </w:pPr>
      <w:r>
        <w:t>第十五章 AI原生能力设计</w:t>
      </w:r>
      <w:bookmarkStart w:name="_Toc015" w:id="16"/>
      <w:bookmarkEnd w:id="16"/>
    </w:p>
    <w:p>
      <w:pPr>
        <w:pStyle w:val="Heading2"/>
      </w:pPr>
      <w:r>
        <w:t>15.1 AI架构概述</w:t>
      </w:r>
    </w:p>
    <w:p>
      <w:r>
        <w:t>BONE X Studio将AI作为基础设施而非附加功能，实现AI能力的全面内建。AI架构包含三层：AI模型层（多模型适配，支持GPT-4/Claude 3/通义千问/DeepSeek本地模型）、AI服务层（Bone AI Pipeline：意图解析+DSL转换+Guard校验）和AI应用层（AI Copilot、智能推荐、自然语言接口）。</w:t>
      </w:r>
    </w:p>
    <w:p>
      <w:pPr>
        <w:pStyle w:val="Heading2"/>
      </w:pPr>
      <w:r>
        <w:t>15.2 AI Copilot</w:t>
      </w:r>
    </w:p>
    <w:p>
      <w:pPr>
        <w:pStyle w:val="Heading3"/>
      </w:pPr>
      <w:r>
        <w:t>15.2.1 三种AI模式</w:t>
      </w:r>
    </w:p>
    <w:p>
      <w:pPr>
        <w:numPr>
          <w:ilvl w:val="0"/>
          <w:numId w:val="1"/>
        </w:numPr>
        <w:ind w:firstLine="0"/>
      </w:pPr>
      <w:r>
        <w:t>Think Mode（深度思考）：用于复杂架构设计、数据建模、代码生成。AI展示完整推理过程，用户可干预和纠正</w:t>
      </w:r>
    </w:p>
    <w:p>
      <w:pPr>
        <w:numPr>
          <w:ilvl w:val="0"/>
          <w:numId w:val="1"/>
        </w:numPr>
        <w:ind w:firstLine="0"/>
      </w:pPr>
      <w:r>
        <w:t>Surface Mode（快速操作）：用于日常快捷操作、数据查询、表单填写。AI理解上下文，提供即时响应</w:t>
      </w:r>
    </w:p>
    <w:p>
      <w:pPr>
        <w:numPr>
          <w:ilvl w:val="0"/>
          <w:numId w:val="1"/>
        </w:numPr>
        <w:ind w:firstLine="0"/>
      </w:pPr>
      <w:r>
        <w:t>Agent Mode（自主执行）：AI代理独立完成多步骤任务，如创建一个完整的项目管理系统，自动完成建模、配置、数据初始化</w:t>
      </w:r>
    </w:p>
    <w:p>
      <w:pPr>
        <w:pStyle w:val="Heading3"/>
      </w:pPr>
      <w:r>
        <w:t>15.2.2 上下文感知</w:t>
      </w:r>
    </w:p>
    <w:p>
      <w:r>
        <w:t>AI Copilot具备上下文感知能力，理解当前页面、用户角色和操作历史。在元数据管理页面AI知道用户在数据建模场景，在仪表盘页面AI知道用户在查看数据概览。上下文通过System Prompt注入，确保AI回复的相关性和准确性。</w:t>
      </w:r>
    </w:p>
    <w:p>
      <w:pPr>
        <w:pStyle w:val="Heading2"/>
      </w:pPr>
      <w:r>
        <w:t>15.3 Guarded Generation</w:t>
      </w:r>
    </w:p>
    <w:p>
      <w:r>
        <w:t>AI生成代码后自动进入Guard校验阶段：1. AI生成初始代码；2. Guard系统检测四铁律违规；3. 自动修正违规（如替换@Data为@Getter）；4. 二次校验通过后输出最终代码。该机制确保AI生成代码合规率&gt;95%，可直接合并到主分支。</w:t>
      </w:r>
    </w:p>
    <w:p>
      <w:pPr>
        <w:pStyle w:val="Heading2"/>
      </w:pPr>
      <w:r>
        <w:t>15.4 Function Calling</w:t>
      </w:r>
    </w:p>
    <w:p>
      <w:r>
        <w:t>AI通过Function Calling与系统功能集成。预置函数库包括：元数据操作（创建对象/添加字段）、数据查询（条件查询/聚合统计）、API调用（发送请求/解析响应）、代码生成（运行脚本/生成代码）。AI根据用户意图自动选择并组合函数调用。</w:t>
      </w:r>
    </w:p>
    <w:p>
      <w:pPr>
        <w:pStyle w:val="Heading2"/>
      </w:pPr>
      <w:r>
        <w:t>15.5 AI辅助功能矩阵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场景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AI能力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实现方式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数据建模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自然语言生成对象结构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NL到Schema到DDL到API到UI全链路生成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数据分析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智能图表推荐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根据数据特征推荐图表类型和维度组合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API设计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自动生成OpenAPI文档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基于元数据和配置生成Swagger文档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代码生成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生成DDD业务模块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基于BluePrint生成前后端代码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故障排查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智能诊断建议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基于日志和错误堆栈推荐解决方案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智能推荐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个性化操作建议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基于用户行为模式推荐下一步操作</w:t>
            </w:r>
          </w:p>
        </w:tc>
      </w:tr>
    </w:tbl>
    <w:p>
      <w:pPr>
        <w:pStyle w:val="Heading1"/>
      </w:pPr>
      <w:r>
        <w:t>第十六章 安全架构设计</w:t>
      </w:r>
      <w:bookmarkStart w:name="_Toc016" w:id="17"/>
      <w:bookmarkEnd w:id="17"/>
    </w:p>
    <w:p>
      <w:pPr>
        <w:pStyle w:val="Heading2"/>
      </w:pPr>
      <w:r>
        <w:t>16.1 安全原则</w:t>
      </w:r>
    </w:p>
    <w:p>
      <w:r>
        <w:t>系统安全遵循纵深防御原则（Defense in Depth），从网络层、应用层、数据层到访问层建立多层安全防护。核心安全原则：最小权限原则（只授予完成任务所需的最小权限）、零信任架构（永不信任，始终验证）、安全左移（安全要求融入设计和开发阶段）。</w:t>
      </w:r>
    </w:p>
    <w:p>
      <w:pPr>
        <w:pStyle w:val="Heading2"/>
      </w:pPr>
      <w:r>
        <w:t>16.2 网络安全</w:t>
      </w:r>
    </w:p>
    <w:p>
      <w:pPr>
        <w:numPr>
          <w:ilvl w:val="0"/>
          <w:numId w:val="1"/>
        </w:numPr>
        <w:ind w:firstLine="0"/>
      </w:pPr>
      <w:r>
        <w:t>传输加密：全站HTTPS（TLS 1.3），HSTS头部，禁止不安全的HTTP访问</w:t>
      </w:r>
    </w:p>
    <w:p>
      <w:pPr>
        <w:numPr>
          <w:ilvl w:val="0"/>
          <w:numId w:val="1"/>
        </w:numPr>
        <w:ind w:firstLine="0"/>
      </w:pPr>
      <w:r>
        <w:t>DDoS防护：CDN层流量清洗，Rate Limiting（基于IP和用户ID双重限流）</w:t>
      </w:r>
    </w:p>
    <w:p>
      <w:pPr>
        <w:numPr>
          <w:ilvl w:val="0"/>
          <w:numId w:val="1"/>
        </w:numPr>
        <w:ind w:firstLine="0"/>
      </w:pPr>
      <w:r>
        <w:t>WAF防护：SQL注入、XSS、CSRF、文件上传漏洞防护</w:t>
      </w:r>
    </w:p>
    <w:p>
      <w:pPr>
        <w:numPr>
          <w:ilvl w:val="0"/>
          <w:numId w:val="1"/>
        </w:numPr>
        <w:ind w:firstLine="0"/>
      </w:pPr>
      <w:r>
        <w:t>网络隔离：内网服务不暴露公网，通过API Gateway统一接入</w:t>
      </w:r>
    </w:p>
    <w:p>
      <w:pPr>
        <w:pStyle w:val="Heading2"/>
      </w:pPr>
      <w:r>
        <w:t>16.3 应用安全</w:t>
      </w:r>
    </w:p>
    <w:p>
      <w:pPr>
        <w:numPr>
          <w:ilvl w:val="0"/>
          <w:numId w:val="1"/>
        </w:numPr>
        <w:ind w:firstLine="0"/>
      </w:pPr>
      <w:r>
        <w:t>认证安全：JWT Token + Refresh Token机制，Token绑定设备指纹</w:t>
      </w:r>
    </w:p>
    <w:p>
      <w:pPr>
        <w:numPr>
          <w:ilvl w:val="0"/>
          <w:numId w:val="1"/>
        </w:numPr>
        <w:ind w:firstLine="0"/>
      </w:pPr>
      <w:r>
        <w:t>授权安全：RBAC + ABAC混合模型，字段级权限控制</w:t>
      </w:r>
    </w:p>
    <w:p>
      <w:pPr>
        <w:numPr>
          <w:ilvl w:val="0"/>
          <w:numId w:val="1"/>
        </w:numPr>
        <w:ind w:firstLine="0"/>
      </w:pPr>
      <w:r>
        <w:t>输入校验：所有用户输入服务端校验，参数化查询防SQL注入</w:t>
      </w:r>
    </w:p>
    <w:p>
      <w:pPr>
        <w:numPr>
          <w:ilvl w:val="0"/>
          <w:numId w:val="1"/>
        </w:numPr>
        <w:ind w:firstLine="0"/>
      </w:pPr>
      <w:r>
        <w:t>输出编码：防止XSS攻击，富文本内容DOMPurify净化</w:t>
      </w:r>
    </w:p>
    <w:p>
      <w:pPr>
        <w:numPr>
          <w:ilvl w:val="0"/>
          <w:numId w:val="1"/>
        </w:numPr>
        <w:ind w:firstLine="0"/>
      </w:pPr>
      <w:r>
        <w:t>文件安全：上传文件类型白名单、病毒扫描、独立存储域</w:t>
      </w:r>
    </w:p>
    <w:p>
      <w:pPr>
        <w:numPr>
          <w:ilvl w:val="0"/>
          <w:numId w:val="1"/>
        </w:numPr>
        <w:ind w:firstLine="0"/>
      </w:pPr>
      <w:r>
        <w:t>CSRF防护：SameSite Cookie + CSRF Token双重防护</w:t>
      </w:r>
    </w:p>
    <w:p>
      <w:pPr>
        <w:pStyle w:val="Heading2"/>
      </w:pPr>
      <w:r>
        <w:t>16.4 数据安全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措施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说明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实现方式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存储加密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敏感字段加密存储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AES-256-GCM，密钥KMS管理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传输加密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数据在传输过程中加密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TLS 1.3，证书Pinning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备份加密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备份文件加密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AES-256，异地存储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数据脱敏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日志和开发环境数据脱敏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手机号/身份证/银行卡号掩码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审计追踪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所有数据变更可追踪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操作日志 + 变更历史 + 责任人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数据归档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过期数据安全归档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加密压缩后转存对象存储</w:t>
            </w:r>
          </w:p>
        </w:tc>
      </w:tr>
    </w:tbl>
    <w:p>
      <w:pPr>
        <w:pStyle w:val="Heading2"/>
      </w:pPr>
      <w:r>
        <w:t>16.5 合规与审计</w:t>
      </w:r>
    </w:p>
    <w:p>
      <w:r>
        <w:t>系统满足以下安全合规要求：等保2.0三级（网络安全等级保护）、ISO 27001（信息安全管理）、GDPR（欧盟数据保护条例，支持数据导出和删除）。审计日志保留不少于180天（商业版WORM存储），支持日志完整性校验（防止篡改）。</w:t>
      </w:r>
    </w:p>
    <w:p>
      <w:pPr>
        <w:pStyle w:val="Heading2"/>
      </w:pPr>
      <w:r>
        <w:t>16.6 信创适配</w:t>
      </w:r>
    </w:p>
    <w:p>
      <w:r>
        <w:t>系统必须支持以下信创组合，功能与非信创环境一致：鲲鹏920+麒麟V10+达梦8、飞腾2000+统信UOS+人大金仓、海光3号+麒麟V10+达梦8。提供《信创数据库调优手册》，列出常见慢SQL优化建议（避免函数索引、使用批量插入、调整数据库参数等）。</w:t>
      </w:r>
    </w:p>
    <w:p>
      <w:pPr>
        <w:pStyle w:val="Heading1"/>
      </w:pPr>
      <w:r>
        <w:t>第十七章 性能优化与高可用</w:t>
      </w:r>
      <w:bookmarkStart w:name="_Toc017" w:id="18"/>
      <w:bookmarkEnd w:id="18"/>
    </w:p>
    <w:p>
      <w:pPr>
        <w:pStyle w:val="Heading2"/>
      </w:pPr>
      <w:r>
        <w:t>17.1 性能目标（SLO）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2500"/>
        <w:gridCol w:w="2500"/>
        <w:gridCol w:w="2500"/>
        <w:gridCol w:w="2500"/>
      </w:tblGrid>
      <w:tr>
        <w:trPr>
          <w:tblHeader/>
        </w:trPr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场景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指标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SLO</w:t>
            </w:r>
          </w:p>
        </w:tc>
        <w:tc>
          <w:tcPr>
            <w:tcW w:w="25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测试条件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AI模块生成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端到端耗时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&lt;=30s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含NL理解+Guard+代码生成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架构校验（bone check）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P99延迟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&lt;=10s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10万行代码项目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CI ArchUnit执行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耗时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&lt;=60s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含全部规则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元数据代码生成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耗时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&lt;=30s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含打包下载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可视化建模响应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P99延迟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&lt;=500ms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正常负载</w:t>
            </w:r>
          </w:p>
        </w:tc>
      </w:tr>
      <w:tr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系统并发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综合QPS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&gt;=1000</w:t>
            </w:r>
          </w:p>
        </w:tc>
        <w:tc>
          <w:tcPr>
            <w:tcW w:w="25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典型混合场景</w:t>
            </w:r>
          </w:p>
        </w:tc>
      </w:tr>
    </w:tbl>
    <w:p>
      <w:pPr>
        <w:pStyle w:val="Heading2"/>
      </w:pPr>
      <w:r>
        <w:t>17.2 前端性能优化</w:t>
      </w:r>
    </w:p>
    <w:p>
      <w:pPr>
        <w:numPr>
          <w:ilvl w:val="0"/>
          <w:numId w:val="1"/>
        </w:numPr>
        <w:ind w:firstLine="0"/>
      </w:pPr>
      <w:r>
        <w:t>代码分割：路由级和组件级Lazy Loading，减少首屏加载量</w:t>
      </w:r>
    </w:p>
    <w:p>
      <w:pPr>
        <w:numPr>
          <w:ilvl w:val="0"/>
          <w:numId w:val="1"/>
        </w:numPr>
        <w:ind w:firstLine="0"/>
      </w:pPr>
      <w:r>
        <w:t>资源优化：Tree Shaking移除未使用代码，Gzip/Brotli压缩</w:t>
      </w:r>
    </w:p>
    <w:p>
      <w:pPr>
        <w:numPr>
          <w:ilvl w:val="0"/>
          <w:numId w:val="1"/>
        </w:numPr>
        <w:ind w:firstLine="0"/>
      </w:pPr>
      <w:r>
        <w:t>缓存策略：静态资源长期缓存（Hash文件名），API响应按需缓存</w:t>
      </w:r>
    </w:p>
    <w:p>
      <w:pPr>
        <w:numPr>
          <w:ilvl w:val="0"/>
          <w:numId w:val="1"/>
        </w:numPr>
        <w:ind w:firstLine="0"/>
      </w:pPr>
      <w:r>
        <w:t>CDN加速：全球CDN节点分发静态资源</w:t>
      </w:r>
    </w:p>
    <w:p>
      <w:pPr>
        <w:numPr>
          <w:ilvl w:val="0"/>
          <w:numId w:val="1"/>
        </w:numPr>
        <w:ind w:firstLine="0"/>
      </w:pPr>
      <w:r>
        <w:t>渲染优化：虚拟滚动（长列表）、防抖节流（频繁操作）、Skeleton屏</w:t>
      </w:r>
    </w:p>
    <w:p>
      <w:pPr>
        <w:pStyle w:val="Heading2"/>
      </w:pPr>
      <w:r>
        <w:t>17.3 后端性能优化</w:t>
      </w:r>
    </w:p>
    <w:p>
      <w:pPr>
        <w:numPr>
          <w:ilvl w:val="0"/>
          <w:numId w:val="1"/>
        </w:numPr>
        <w:ind w:firstLine="0"/>
      </w:pPr>
      <w:r>
        <w:t>数据库优化：连接池（HikariCP）、查询优化（索引/覆盖查询/分页）、读写分离</w:t>
      </w:r>
    </w:p>
    <w:p>
      <w:pPr>
        <w:numPr>
          <w:ilvl w:val="0"/>
          <w:numId w:val="1"/>
        </w:numPr>
        <w:ind w:firstLine="0"/>
      </w:pPr>
      <w:r>
        <w:t>缓存策略：多级缓存（L1 Caffeine到L2 Redis到L3 CDN），缓存预热</w:t>
      </w:r>
    </w:p>
    <w:p>
      <w:pPr>
        <w:numPr>
          <w:ilvl w:val="0"/>
          <w:numId w:val="1"/>
        </w:numPr>
        <w:ind w:firstLine="0"/>
      </w:pPr>
      <w:r>
        <w:t>异步处理：非关键路径异步化（消息队列），批量操作合并</w:t>
      </w:r>
    </w:p>
    <w:p>
      <w:pPr>
        <w:numPr>
          <w:ilvl w:val="0"/>
          <w:numId w:val="1"/>
        </w:numPr>
        <w:ind w:firstLine="0"/>
      </w:pPr>
      <w:r>
        <w:t>连接管理：HTTP Keep-Alive、连接池复用、gRPC替代HTTP/1.1</w:t>
      </w:r>
    </w:p>
    <w:p>
      <w:pPr>
        <w:pStyle w:val="Heading2"/>
      </w:pPr>
      <w:r>
        <w:t>17.4 高可用设计</w:t>
      </w:r>
    </w:p>
    <w:p>
      <w:pPr>
        <w:numPr>
          <w:ilvl w:val="0"/>
          <w:numId w:val="1"/>
        </w:numPr>
        <w:ind w:firstLine="0"/>
      </w:pPr>
      <w:r>
        <w:t>服务冗余：无状态服务多实例部署，支持水平扩缩容</w:t>
      </w:r>
    </w:p>
    <w:p>
      <w:pPr>
        <w:numPr>
          <w:ilvl w:val="0"/>
          <w:numId w:val="1"/>
        </w:numPr>
        <w:ind w:firstLine="0"/>
      </w:pPr>
      <w:r>
        <w:t>数据库高可用：PostgreSQL主从复制 + 自动故障转移（Patroni）</w:t>
      </w:r>
    </w:p>
    <w:p>
      <w:pPr>
        <w:numPr>
          <w:ilvl w:val="0"/>
          <w:numId w:val="1"/>
        </w:numPr>
        <w:ind w:firstLine="0"/>
      </w:pPr>
      <w:r>
        <w:t>缓存高可用：Redis Cluster 3主3从，自动故障转移</w:t>
      </w:r>
    </w:p>
    <w:p>
      <w:pPr>
        <w:numPr>
          <w:ilvl w:val="0"/>
          <w:numId w:val="1"/>
        </w:numPr>
        <w:ind w:firstLine="0"/>
      </w:pPr>
      <w:r>
        <w:t>消息队列高可用：RocketMQ多主多从，消息持久化</w:t>
      </w:r>
    </w:p>
    <w:p>
      <w:pPr>
        <w:numPr>
          <w:ilvl w:val="0"/>
          <w:numId w:val="1"/>
        </w:numPr>
        <w:ind w:firstLine="0"/>
      </w:pPr>
      <w:r>
        <w:t>容灾备份：跨可用区部署，异地备份，RPO&lt;15分钟</w:t>
      </w:r>
    </w:p>
    <w:p>
      <w:pPr>
        <w:pStyle w:val="Heading1"/>
      </w:pPr>
      <w:r>
        <w:t>第十八章 部署与运维架构</w:t>
      </w:r>
      <w:bookmarkStart w:name="_Toc018" w:id="19"/>
      <w:bookmarkEnd w:id="19"/>
    </w:p>
    <w:p>
      <w:pPr>
        <w:pStyle w:val="Heading2"/>
      </w:pPr>
      <w:r>
        <w:t>18.1 容器化规范</w:t>
      </w:r>
    </w:p>
    <w:p>
      <w:r>
        <w:t>所有服务打包为Docker镜像，遵循12-Factor App原则：配置通过环境变量注入（不硬编码）、日志输出到stdout（由采集器收集）、进程无状态共享（状态外置Redis/DB）。镜像构建使用多阶段构建（Multi-Stage），减小镜像体积。基础镜像使用Distroless或Alpine Linux，减少攻击面。</w:t>
      </w:r>
    </w:p>
    <w:p>
      <w:pPr>
        <w:pStyle w:val="Heading2"/>
      </w:pPr>
      <w:r>
        <w:t>18.2 CI/CD流程</w:t>
      </w:r>
    </w:p>
    <w:p>
      <w:r>
        <w:t>持续集成：代码提交触发流水线，执行单元测试（覆盖率&gt;=85%）、集成测试、代码质量检查（SonarQube无阻断问题）和安全扫描（Trivy无高危漏洞）。持续交付：通过分支策略（Git Flow）自动部署到对应环境。生产发布采用金丝雀发布（Canary），先引流5%流量观察，再逐步扩大。回滚策略支持一键回滚到上一版本（保留最近10个版本）。</w:t>
      </w:r>
    </w:p>
    <w:p>
      <w:pPr>
        <w:pStyle w:val="Heading2"/>
      </w:pPr>
      <w:r>
        <w:t>18.3 Helm Chart配置</w:t>
      </w:r>
    </w:p>
    <w:p>
      <w:r>
        <w:t>官方Helm Chart核心配置：replicaCount默认3，image.repository为bone-x-studio，service.type为ClusterIP，autoscaling启用HPA（minReplicas=3, maxReplicas=10, targetCPU=80%），resources.limits（cpu=2000m, memory=4Gi），podDisruptionBudget.minAvailable=2，database配置连接信息，persistence启用100Gi存储。</w:t>
      </w:r>
    </w:p>
    <w:p>
      <w:pPr>
        <w:pStyle w:val="Heading2"/>
      </w:pPr>
      <w:r>
        <w:t>18.4 运维监控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层面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工具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监控内容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基础设施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Prometheus + Grafana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CPU/内存/磁盘/网络/容器状态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应用性能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Micrometer + Prometheus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QPS/P99延迟/错误率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业务指标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自定义Exporter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生成次数/Guard通过率/AI采纳率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日志管理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Loki / ELK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结构化日志聚合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链路追踪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SkyWalking / Jaeger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分布式链路追踪</w:t>
            </w:r>
          </w:p>
        </w:tc>
      </w:tr>
    </w:tbl>
    <w:p>
      <w:pPr>
        <w:pStyle w:val="Heading2"/>
      </w:pPr>
      <w:r>
        <w:t>18.5 灾难恢复</w:t>
      </w:r>
    </w:p>
    <w:p>
      <w:r>
        <w:t>灾难恢复计划（DRP）包括：数据备份策略（每日全量备份 + 实时增量备份，保留30天）、故障演练（每季度模拟数据库故障和节点宕机）、恢复目标（RTO&lt;30分钟，RPO&lt;15分钟）。关键业务数据支持跨区域复制，极端情况下可切换至灾备集群。</w:t>
      </w:r>
    </w:p>
    <w:p>
      <w:pPr>
        <w:pStyle w:val="Heading1"/>
      </w:pPr>
      <w:r>
        <w:t>第十九章 发布与灰度策略</w:t>
      </w:r>
      <w:bookmarkStart w:name="_Toc019" w:id="20"/>
      <w:bookmarkEnd w:id="20"/>
    </w:p>
    <w:p>
      <w:pPr>
        <w:pStyle w:val="Heading2"/>
      </w:pPr>
      <w:r>
        <w:t>19.1 分阶段发布里程碑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阶段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名称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核心目标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工期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关键交付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阶段0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基础平台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CLI可用+基础建模+IAM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3个月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bone-cli、可视化建模、统一IAM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阶段1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架构治理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4条铁律CI阻断+AI生成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4个月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Guard、AI Engine、DDD脚手架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阶段2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元数据增强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主数据+集成引擎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4个月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MDM、集成流程编排、插件市场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阶段3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生态与演进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扩展点市场+多租户+信创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4个月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Marketplace、多租户、信创适配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阶段4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企业级中台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多语言+IDE插件+SaaS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3个月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Go生成器、IntelliJ插件、SaaS版</w:t>
            </w:r>
          </w:p>
        </w:tc>
      </w:tr>
    </w:tbl>
    <w:p>
      <w:pPr>
        <w:pStyle w:val="Heading2"/>
      </w:pPr>
      <w:r>
        <w:t>19.2 灰度发布计划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阶段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范围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流量比例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持续时间</w:t>
            </w:r>
          </w:p>
        </w:tc>
        <w:tc>
          <w:tcPr>
            <w:tcW w:w="2000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通过标准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Alpha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内部研发团队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100%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2周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无P0故障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Beta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1家种子客户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100%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1个月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架构健康分&gt;85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Gamma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3家行业客户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50%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2周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Guard通过率&gt;85%</w:t>
            </w:r>
          </w:p>
        </w:tc>
      </w:tr>
      <w:tr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GA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全量发布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100%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-</w:t>
            </w:r>
          </w:p>
        </w:tc>
        <w:tc>
          <w:tcPr>
            <w:tcW w:w="2000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连续14天无P1故障</w:t>
            </w:r>
          </w:p>
        </w:tc>
      </w:tr>
    </w:tbl>
    <w:p>
      <w:pPr>
        <w:pStyle w:val="Heading2"/>
      </w:pPr>
      <w:r>
        <w:t>19.3 准入与退出条件</w:t>
      </w:r>
    </w:p>
    <w:p>
      <w:pPr>
        <w:pStyle w:val="Heading3"/>
      </w:pPr>
      <w:r>
        <w:t>19.3.1 准入条件</w:t>
      </w:r>
    </w:p>
    <w:p>
      <w:pPr>
        <w:numPr>
          <w:ilvl w:val="0"/>
          <w:numId w:val="1"/>
        </w:numPr>
        <w:ind w:firstLine="0"/>
      </w:pPr>
      <w:r>
        <w:t>所有P0功能100%开发完成，无阻塞性BUG</w:t>
      </w:r>
    </w:p>
    <w:p>
      <w:pPr>
        <w:numPr>
          <w:ilvl w:val="0"/>
          <w:numId w:val="1"/>
        </w:numPr>
        <w:ind w:firstLine="0"/>
      </w:pPr>
      <w:r>
        <w:t>核心域单元测试覆盖率&gt;=85%</w:t>
      </w:r>
    </w:p>
    <w:p>
      <w:pPr>
        <w:numPr>
          <w:ilvl w:val="0"/>
          <w:numId w:val="1"/>
        </w:numPr>
        <w:ind w:firstLine="0"/>
      </w:pPr>
      <w:r>
        <w:t>安全扫描：高危漏洞=0，中危漏洞&lt;=5</w:t>
      </w:r>
    </w:p>
    <w:p>
      <w:pPr>
        <w:numPr>
          <w:ilvl w:val="0"/>
          <w:numId w:val="1"/>
        </w:numPr>
        <w:ind w:firstLine="0"/>
      </w:pPr>
      <w:r>
        <w:t>性能压测：所有P0接口SLO达标</w:t>
      </w:r>
    </w:p>
    <w:p>
      <w:pPr>
        <w:numPr>
          <w:ilvl w:val="0"/>
          <w:numId w:val="1"/>
        </w:numPr>
        <w:ind w:firstLine="0"/>
      </w:pPr>
      <w:r>
        <w:t>ArchUnit四铁律100%阻断准确率（零误报）</w:t>
      </w:r>
    </w:p>
    <w:p>
      <w:pPr>
        <w:pStyle w:val="Heading3"/>
      </w:pPr>
      <w:r>
        <w:t>19.3.2 退出条件</w:t>
      </w:r>
    </w:p>
    <w:p>
      <w:pPr>
        <w:numPr>
          <w:ilvl w:val="0"/>
          <w:numId w:val="1"/>
        </w:numPr>
        <w:ind w:firstLine="0"/>
      </w:pPr>
      <w:r>
        <w:t>生产环境连续14天无P0/P1故障</w:t>
      </w:r>
    </w:p>
    <w:p>
      <w:pPr>
        <w:numPr>
          <w:ilvl w:val="0"/>
          <w:numId w:val="1"/>
        </w:numPr>
        <w:ind w:firstLine="0"/>
      </w:pPr>
      <w:r>
        <w:t>客户健康度&gt;60%</w:t>
      </w:r>
    </w:p>
    <w:p>
      <w:pPr>
        <w:numPr>
          <w:ilvl w:val="0"/>
          <w:numId w:val="1"/>
        </w:numPr>
        <w:ind w:firstLine="0"/>
      </w:pPr>
      <w:r>
        <w:t>AI生成采纳率&gt;75%</w:t>
      </w:r>
    </w:p>
    <w:p>
      <w:pPr>
        <w:numPr>
          <w:ilvl w:val="0"/>
          <w:numId w:val="1"/>
        </w:numPr>
        <w:ind w:firstLine="0"/>
      </w:pPr>
      <w:r>
        <w:t>核心接口错误率&lt;0.1%，P99延迟符合SLO</w:t>
      </w:r>
    </w:p>
    <w:p>
      <w:pPr>
        <w:pStyle w:val="Heading2"/>
      </w:pPr>
      <w:r>
        <w:t>19.4 回滚策略</w:t>
      </w:r>
    </w:p>
    <w:p>
      <w:r>
        <w:t>自动回滚触发：核心接口错误率&gt;1%持续5分钟、P99延迟超过SLO阈值2倍持续5分钟、服务可用性&lt;99.9%持续3分钟、检测到架构越权漏洞或数据泄露。回滚方式：服务滚动回退至上一版本，业务无感知，回滚时间&lt;5分钟。</w:t>
      </w:r>
    </w:p>
    <w:p>
      <w:pPr>
        <w:pStyle w:val="Heading1"/>
      </w:pPr>
      <w:r>
        <w:t>第二十章 风险与依赖</w:t>
      </w:r>
      <w:bookmarkStart w:name="_Toc020" w:id="21"/>
      <w:bookmarkEnd w:id="21"/>
    </w:p>
    <w:p>
      <w:pPr>
        <w:pStyle w:val="Heading2"/>
      </w:pPr>
      <w:r>
        <w:t>20.1 风险登记册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1666"/>
        <w:gridCol w:w="1666"/>
        <w:gridCol w:w="1666"/>
        <w:gridCol w:w="1666"/>
        <w:gridCol w:w="1666"/>
        <w:gridCol w:w="1666"/>
      </w:tblGrid>
      <w:tr>
        <w:trPr>
          <w:tblHeader/>
        </w:trPr>
        <w:tc>
          <w:tcPr>
            <w:tcW w:w="1666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ID</w:t>
            </w:r>
          </w:p>
        </w:tc>
        <w:tc>
          <w:tcPr>
            <w:tcW w:w="1666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风险描述</w:t>
            </w:r>
          </w:p>
        </w:tc>
        <w:tc>
          <w:tcPr>
            <w:tcW w:w="1666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可能性</w:t>
            </w:r>
          </w:p>
        </w:tc>
        <w:tc>
          <w:tcPr>
            <w:tcW w:w="1666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影响</w:t>
            </w:r>
          </w:p>
        </w:tc>
        <w:tc>
          <w:tcPr>
            <w:tcW w:w="1666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风险等级</w:t>
            </w:r>
          </w:p>
        </w:tc>
        <w:tc>
          <w:tcPr>
            <w:tcW w:w="1666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缓解措施</w:t>
            </w:r>
          </w:p>
        </w:tc>
      </w:tr>
      <w:tr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R-01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AI生成代码质量不稳定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Guarded Generation + 人工审核开关</w:t>
            </w:r>
          </w:p>
        </w:tc>
      </w:tr>
      <w:tr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R-02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开发者抵触"被约束"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渐进路线：工具到推荐到强制</w:t>
            </w:r>
          </w:p>
        </w:tc>
      </w:tr>
      <w:tr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R-03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存量系统迁移成本高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提供自动评估和迁移工具</w:t>
            </w:r>
          </w:p>
        </w:tc>
      </w:tr>
      <w:tr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R-04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LLM API成本过高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支持本地模型+缓存</w:t>
            </w:r>
          </w:p>
        </w:tc>
      </w:tr>
      <w:tr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R-05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多语言生成（Go）语法错误率高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分阶段：Java成熟后再扩展Go</w:t>
            </w:r>
          </w:p>
        </w:tc>
      </w:tr>
      <w:tr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R-06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竞品推出类似方案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构筑Blueprint规范深度壁垒</w:t>
            </w:r>
          </w:p>
        </w:tc>
      </w:tr>
      <w:tr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R-07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企业安全合规要求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高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中</w:t>
            </w:r>
          </w:p>
        </w:tc>
        <w:tc>
          <w:tcPr>
            <w:tcW w:w="1666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私有化部署支持；生成日志本地存储</w:t>
            </w:r>
          </w:p>
        </w:tc>
      </w:tr>
    </w:tbl>
    <w:p>
      <w:pPr>
        <w:pStyle w:val="Heading2"/>
      </w:pPr>
      <w:r>
        <w:t>20.2 外部依赖清单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依赖项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版本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备选方案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OpenAI/Claude API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GPT-4/Claude 3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通义千问/DeepSeek本地部署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JavaPoet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1.13+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KotlinPoet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ArchUnit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1.2+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自研ASM规则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Apache Camel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4.0+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Spring Integration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Spring Boot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3.2+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Quarkus</w:t>
            </w:r>
          </w:p>
        </w:tc>
      </w:tr>
    </w:tbl>
    <w:p>
      <w:pPr>
        <w:pStyle w:val="Heading1"/>
      </w:pPr>
      <w:r>
        <w:t>第二十一章 开源与社区策略</w:t>
      </w:r>
      <w:bookmarkStart w:name="_Toc021" w:id="22"/>
      <w:bookmarkEnd w:id="22"/>
    </w:p>
    <w:p>
      <w:pPr>
        <w:pStyle w:val="Heading2"/>
      </w:pPr>
      <w:r>
        <w:t>21.1 许可证策略</w:t>
      </w:r>
    </w:p>
    <w:p>
      <w:r>
        <w:t>社区版采用Apache License 2.0开源，商业版采用商业授权协议，提供SLA保障和企业级技术支持。Open Core策略确保核心能力开源可用，企业级特性（多租户/MDM/信创适配/企业SSO）通过商业授权提供。</w:t>
      </w:r>
    </w:p>
    <w:p>
      <w:pPr>
        <w:pStyle w:val="Heading2"/>
      </w:pPr>
      <w:r>
        <w:t>21.2 代码仓库与治理</w:t>
      </w:r>
    </w:p>
    <w:tbl>
      <w:tblPr>
        <w:tblW w:w="5000" w:type="pct"/>
        <w:tblBorders>
          <w:top w:val="single" w:color="0d7377" w:sz="12"/>
          <w:bottom w:val="single" w:color="0d7377" w:sz="12"/>
          <w:insideH w:val="single" w:color="e8eef2" w:sz="4"/>
        </w:tblBorders>
        <w:tblLook w:val="04A0" w:firstRow="true" w:lastRow="false" w:firstColumn="false" w:lastColumn="false" w:noHBand="false" w:noVBand="true"/>
      </w:tblPr>
      <w:tblGrid>
        <w:gridCol w:w="3333"/>
        <w:gridCol w:w="3333"/>
        <w:gridCol w:w="3333"/>
      </w:tblGrid>
      <w:tr>
        <w:trPr>
          <w:tblHeader/>
        </w:trPr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仓库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内容</w:t>
            </w:r>
          </w:p>
        </w:tc>
        <w:tc>
          <w:tcPr>
            <w:tcW w:w="3333" w:type="dxa"/>
            <w:shd w:val="clear" w:fill="f0f5f9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1a1a2e"/>
                <w:sz w:val="20"/>
              </w:rPr>
              <w:t>许可证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bone-x-studio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核心平台（社区版）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Apache 2.0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bone-blueprint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架构规范文档与ArchUnit规则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Apache 2.0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bone-cli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命令行工具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Apache 2.0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bone-sdk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bone-core / metadata-sdk / extension-sdk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Apache 2.0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bone-marketplace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官方扩展点模板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Apache 2.0</w:t>
            </w:r>
          </w:p>
        </w:tc>
      </w:tr>
      <w:tr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bone-x-studio-enterprise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商业版特性</w:t>
            </w:r>
          </w:p>
        </w:tc>
        <w:tc>
          <w:tcPr>
            <w:tcW w:w="3333" w:type="dxa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1a1a2e"/>
                <w:sz w:val="20"/>
              </w:rPr>
              <w:t>商业授权</w:t>
            </w:r>
          </w:p>
        </w:tc>
      </w:tr>
    </w:tbl>
    <w:p>
      <w:pPr>
        <w:pStyle w:val="Heading2"/>
      </w:pPr>
      <w:r>
        <w:t>21.3 社区激励计划</w:t>
      </w:r>
    </w:p>
    <w:p>
      <w:pPr>
        <w:numPr>
          <w:ilvl w:val="0"/>
          <w:numId w:val="1"/>
        </w:numPr>
        <w:ind w:firstLine="0"/>
      </w:pPr>
      <w:r>
        <w:t>贡献者等级：Contributor / Maintainer / Core Team三级晋升体系</w:t>
      </w:r>
    </w:p>
    <w:p>
      <w:pPr>
        <w:numPr>
          <w:ilvl w:val="0"/>
          <w:numId w:val="1"/>
        </w:numPr>
        <w:ind w:firstLine="0"/>
      </w:pPr>
      <w:r>
        <w:t>月度之星：每月评选最佳贡献者，给予社区荣誉和物质奖励</w:t>
      </w:r>
    </w:p>
    <w:p>
      <w:pPr>
        <w:numPr>
          <w:ilvl w:val="0"/>
          <w:numId w:val="1"/>
        </w:numPr>
        <w:ind w:firstLine="0"/>
      </w:pPr>
      <w:r>
        <w:t>扩展点大赛：每季度举办开发大赛，优秀插件获得官方推荐</w:t>
      </w:r>
    </w:p>
    <w:p>
      <w:pPr>
        <w:numPr>
          <w:ilvl w:val="0"/>
          <w:numId w:val="1"/>
        </w:numPr>
        <w:ind w:firstLine="0"/>
      </w:pPr>
      <w:r>
        <w:t>认证体系：Bone Certified Architect（BCA）认证，提升社区影响力</w:t>
      </w:r>
    </w:p>
    <w:p>
      <w:pPr>
        <w:pStyle w:val="Heading2"/>
      </w:pPr>
      <w:r>
        <w:t>21.4 文档与示例</w:t>
      </w:r>
    </w:p>
    <w:p>
      <w:r>
        <w:t>社区文档体系包括：快速开始指南（5分钟上手bone init + bone create）、架构规范手册（Bone-Blueprint v14.3完整解读）、视频教程（AI建模/CQRS升级/扩展点开发实战）、示例项目（电商订单系统、金融支付系统、文档管理中心）。所有文档开源在GitHub Wiki，支持社区协作编辑。</w:t>
      </w:r>
    </w:p>
    <w:p>
      <w:pPr>
        <w:sectPr>
          <w:headerReference w:type="default" r:id="Rca5e2f1e4e5145e8"/>
          <w:footerReference w:type="default" r:id="Rd3d5992399824a56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5462058708e3471b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rFonts w:ascii="Calibri" w:hAnsi="Calibri" w:eastAsia="Microsoft YaHei"/>
          <w:b/>
          <w:color w:val="0d7377"/>
          <w:sz w:val="52"/>
        </w:rPr>
        <w:t>BONE X Studio</w:t>
      </w:r>
    </w:p>
    <w:p>
      <w:pPr>
        <w:spacing w:before="400"/>
        <w:jc w:val="center"/>
      </w:pPr>
      <w:r>
        <w:rPr>
          <w:rFonts w:ascii="Calibri" w:hAnsi="Calibri" w:eastAsia="Microsoft YaHei"/>
          <w:color w:val="5c6b73"/>
          <w:sz w:val="24"/>
        </w:rPr>
        <w:t>Build Anything, Deploy Everywhere</w:t>
      </w:r>
    </w:p>
    <w:p>
      <w:pPr>
        <w:spacing w:before="600"/>
        <w:jc w:val="center"/>
      </w:pPr>
      <w:r>
        <w:rPr>
          <w:rFonts w:ascii="Calibri" w:hAnsi="Calibri" w:eastAsia="Microsoft YaHei"/>
          <w:color w:val="5c6b73"/>
          <w:sz w:val="18"/>
        </w:rPr>
        <w:t>bone-framework.io  |  GitHub: github.com/bone-framework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5c6b73"/>
        <w:sz w:val="18"/>
      </w:rPr>
      <w:t xml:space="preserve">第 </w:t>
    </w:r>
    <w:r>
      <w:fldChar w:fldCharType="begin"/>
    </w:r>
    <w:r>
      <w:rPr>
        <w:color w:val="5c6b73"/>
        <w:sz w:val="18"/>
      </w:rPr>
      <w:instrText xml:space="preserve"> PAGE </w:instrText>
    </w:r>
    <w:r>
      <w:rPr>
        <w:color w:val="5c6b73"/>
        <w:sz w:val="18"/>
      </w:rPr>
      <w:fldChar w:fldCharType="separate"/>
    </w:r>
    <w:r>
      <w:rPr>
        <w:color w:val="5c6b73"/>
        <w:sz w:val="18"/>
      </w:rPr>
      <w:t>1</w:t>
    </w:r>
    <w:r>
      <w:rPr>
        <w:color w:val="5c6b73"/>
        <w:sz w:val="18"/>
      </w:rPr>
      <w:fldChar w:fldCharType="end"/>
    </w:r>
    <w:r>
      <w:rPr>
        <w:rFonts w:ascii="Calibri" w:hAnsi="Calibri" w:eastAsia="Microsoft YaHei"/>
        <w:color w:val="5c6b73"/>
        <w:sz w:val="18"/>
      </w:rPr>
      <w:t xml:space="preserve"> 页 / 共 </w:t>
    </w:r>
    <w:r>
      <w:fldChar w:fldCharType="begin"/>
    </w:r>
    <w:r>
      <w:rPr>
        <w:color w:val="5c6b73"/>
        <w:sz w:val="18"/>
      </w:rPr>
      <w:instrText xml:space="preserve"> NUMPAGES </w:instrText>
    </w:r>
    <w:r>
      <w:rPr>
        <w:color w:val="5c6b73"/>
        <w:sz w:val="18"/>
      </w:rPr>
      <w:fldChar w:fldCharType="separate"/>
    </w:r>
    <w:r>
      <w:rPr>
        <w:color w:val="5c6b73"/>
        <w:sz w:val="18"/>
      </w:rPr>
      <w:t>1</w:t>
    </w:r>
    <w:r>
      <w:rPr>
        <w:color w:val="5c6b73"/>
        <w:sz w:val="18"/>
      </w:rPr>
      <w:fldChar w:fldCharType="end"/>
    </w:r>
    <w:r>
      <w:rPr>
        <w:rFonts w:ascii="Calibri" w:hAnsi="Calibri" w:eastAsia="Microsoft YaHei"/>
        <w:color w:val="5c6b73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5c6b73"/>
        <w:sz w:val="18"/>
      </w:rPr>
      <w:t>BONE X Studio 终局详细设计方案 v5.0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1a1a2e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0d7377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1a1a2e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14919b"/>
      <w:sz w:val="24"/>
    </w:rPr>
  </w:style>
  <w:style w:type="paragraph" w:styleId="Heading4">
    <w:name w:val="heading 4"/>
    <w:basedOn w:val="Normal"/>
    <w:pPr>
      <w:keepNext/>
      <w:keepLines/>
      <w:spacing w:before="200" w:after="100"/>
      <w:ind w:firstLine="0"/>
      <w:outlineLvl w:val="3"/>
    </w:pPr>
    <w:rPr>
      <w:rFonts w:ascii="Calibri" w:hAnsi="Calibri" w:eastAsia="Microsoft YaHei"/>
      <w:b/>
      <w:color w:val="5c6b73"/>
      <w:sz w:val="22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5c6b73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5c6b73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5c6b73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c9382e7629284c17" /><Relationship Type="http://schemas.openxmlformats.org/officeDocument/2006/relationships/numbering" Target="numbering.xml" Id="R4e04217766b74c30" /><Relationship Type="http://schemas.openxmlformats.org/officeDocument/2006/relationships/image" Target="media/image.png" Id="R9e9e932bbe9540ba" /><Relationship Type="http://schemas.openxmlformats.org/officeDocument/2006/relationships/image" Target="media/image2.png" Id="R5462058708e3471b" /><Relationship Type="http://schemas.openxmlformats.org/officeDocument/2006/relationships/header" Target="header1.xml" Id="Rca5e2f1e4e5145e8" /><Relationship Type="http://schemas.openxmlformats.org/officeDocument/2006/relationships/footer" Target="footer1.xml" Id="Rd3d5992399824a56" /><Relationship Type="http://schemas.openxmlformats.org/officeDocument/2006/relationships/settings" Target="settings.xml" Id="R58222308067f4b24" /></Relationships>
</file>