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 w:line="20" w:lineRule="exact"/>
      </w:pPr>
    </w:p>
    <w:p>
      <w:pPr>
        <w:spacing w:after="160" w:line="380"/>
        <w:jc w:val="center"/>
      </w:pPr>
      <w:r>
        <w:rPr>
          <w:rFonts w:ascii="Microsoft YaHei" w:cs="Microsoft YaHei" w:eastAsia="Microsoft YaHei" w:hAnsi="Microsoft YaHei"/>
          <w:b/>
          <w:bCs/>
          <w:color w:val="1F4E79"/>
          <w:sz w:val="56"/>
          <w:szCs w:val="56"/>
        </w:rPr>
        <w:t xml:space="preserve">synapClaim 智能理赔平台</w:t>
      </w:r>
    </w:p>
    <w:p>
      <w:pPr>
        <w:spacing w:before="300" w:line="20" w:lineRule="exact"/>
      </w:pPr>
    </w:p>
    <w:p>
      <w:pPr>
        <w:spacing w:after="160" w:line="380"/>
        <w:jc w:val="center"/>
      </w:pPr>
      <w:r>
        <w:rPr>
          <w:rFonts w:ascii="Microsoft YaHei" w:cs="Microsoft YaHei" w:eastAsia="Microsoft YaHei" w:hAnsi="Microsoft YaHei"/>
          <w:b/>
          <w:bCs/>
          <w:color w:val="333333"/>
          <w:sz w:val="44"/>
          <w:szCs w:val="44"/>
        </w:rPr>
        <w:t xml:space="preserve">落地交付包清单</w:t>
      </w:r>
    </w:p>
    <w:p>
      <w:pPr>
        <w:pBdr>
          <w:bottom w:val="single" w:color="1F4E79" w:sz="6"/>
        </w:pBdr>
        <w:spacing w:after="200"/>
      </w:pPr>
    </w:p>
    <w:p>
      <w:pPr>
        <w:spacing w:before="600" w:line="20" w:lineRule="exact"/>
      </w:pPr>
    </w:p>
    <w:p>
      <w:pPr>
        <w:spacing w:after="160" w:line="380"/>
        <w:jc w:val="center"/>
      </w:pPr>
      <w:r>
        <w:rPr>
          <w:rFonts w:ascii="Microsoft YaHei" w:cs="Microsoft YaHei" w:eastAsia="Microsoft YaHei" w:hAnsi="Microsoft YaHei"/>
          <w:color w:val="666666"/>
          <w:sz w:val="22"/>
          <w:szCs w:val="22"/>
        </w:rPr>
        <w:t xml:space="preserve">版本 V1.0 ｜ 2026-10-12 ｜ Synap（思纳普）出品</w:t>
      </w:r>
    </w:p>
    <w:p>
      <w:pPr>
        <w:spacing w:before="400" w:line="20" w:lineRule="exact"/>
      </w:pPr>
    </w:p>
    <w:p>
      <w:pPr>
        <w:spacing w:after="160" w:line="380"/>
        <w:jc w:val="center"/>
      </w:pPr>
      <w:r>
        <w:rPr>
          <w:rFonts w:ascii="Microsoft YaHei" w:cs="Microsoft YaHei" w:eastAsia="Microsoft YaHei" w:hAnsi="Microsoft YaHei"/>
          <w:color w:val="666666"/>
          <w:sz w:val="22"/>
          <w:szCs w:val="22"/>
        </w:rPr>
        <w:t xml:space="preserve">面向保司 / TPA 的试点合作交付包总览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cols w:num="1"/>
          <w:docGrid w:linePitch="360"/>
        </w:sectPr>
      </w:pPr>
    </w:p>
    <w:p>
      <w:pPr>
        <w:pStyle w:val="Heading1"/>
        <w:keepNext/>
        <w:keepLines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一、交付包定位</w:t>
      </w:r>
    </w:p>
    <w:p>
      <w:pPr>
        <w:spacing w:after="160" w:line="38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本交付包是 synapClaim 智能理赔平台与贵司（保司 / TPA）开展试点合作的完整材料集，覆盖从协议签署、数据安全、系统接入、业务验证到规模化商务的全过程。</w:t>
      </w:r>
    </w:p>
    <w:p>
      <w:pPr>
        <w:spacing w:after="160" w:line="38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交付包以「可量化、可审计、可回退」为原则：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可量化：每个环节都有明确的指标口径与验收标准，不空谈效果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可审计：每笔审核决策可回放（证据 → 解析 → 核责 → 理算 → 决策）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可回退：试点全程旁路运行，不改变贵司现有理赔流程，随时可关停</w:t>
      </w:r>
    </w:p>
    <w:p>
      <w:pPr>
        <w:pStyle w:val="Heading1"/>
        <w:keepNext/>
        <w:keepLines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二、交付物总览（共 10 项）</w:t>
      </w:r>
    </w:p>
    <w:tbl>
      <w:tblPr>
        <w:tblW w:type="dxa" w:w="936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0"/>
        <w:gridCol w:w="2995"/>
        <w:gridCol w:w="4212"/>
        <w:gridCol w:w="1123"/>
      </w:tblGrid>
      <w:tr>
        <w:tc>
          <w:tcPr>
            <w:tcW w:type="dxa" w:w="103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编号</w:t>
            </w:r>
          </w:p>
        </w:tc>
        <w:tc>
          <w:tcPr>
            <w:tcW w:type="dxa" w:w="299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交付物</w:t>
            </w:r>
          </w:p>
        </w:tc>
        <w:tc>
          <w:tcPr>
            <w:tcW w:type="dxa" w:w="4212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一句话说明</w:t>
            </w:r>
          </w:p>
        </w:tc>
        <w:tc>
          <w:tcPr>
            <w:tcW w:type="dxa" w:w="112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交付时点</w:t>
            </w:r>
          </w:p>
        </w:tc>
      </w:tr>
      <w:tr>
        <w:tc>
          <w:tcPr>
            <w:tcW w:type="dxa" w:w="103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01</w:t>
            </w:r>
          </w:p>
        </w:tc>
        <w:tc>
          <w:tcPr>
            <w:tcW w:type="dxa" w:w="299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试点合作框架协议（MOU / NDA / DPA）</w:t>
            </w:r>
          </w:p>
        </w:tc>
        <w:tc>
          <w:tcPr>
            <w:tcW w:type="dxa" w:w="4212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三份基础契约：锁定试点范围、数据授权与成功标准</w:t>
            </w:r>
          </w:p>
        </w:tc>
        <w:tc>
          <w:tcPr>
            <w:tcW w:type="dxa" w:w="112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签约期</w:t>
            </w:r>
          </w:p>
        </w:tc>
      </w:tr>
      <w:tr>
        <w:tc>
          <w:tcPr>
            <w:tcW w:type="dxa" w:w="103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AF1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02</w:t>
            </w:r>
          </w:p>
        </w:tc>
        <w:tc>
          <w:tcPr>
            <w:tcW w:type="dxa" w:w="299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AF1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数据脱敏与个人信息处理方案</w:t>
            </w:r>
          </w:p>
        </w:tc>
        <w:tc>
          <w:tcPr>
            <w:tcW w:type="dxa" w:w="4212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AF1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脱敏字段、算法、验证方法与泄露应急响应</w:t>
            </w:r>
          </w:p>
        </w:tc>
        <w:tc>
          <w:tcPr>
            <w:tcW w:type="dxa" w:w="112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AF1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签约期</w:t>
            </w:r>
          </w:p>
        </w:tc>
      </w:tr>
      <w:tr>
        <w:tc>
          <w:tcPr>
            <w:tcW w:type="dxa" w:w="103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03</w:t>
            </w:r>
          </w:p>
        </w:tc>
        <w:tc>
          <w:tcPr>
            <w:tcW w:type="dxa" w:w="299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POC 演示脚本</w:t>
            </w:r>
          </w:p>
        </w:tc>
        <w:tc>
          <w:tcPr>
            <w:tcW w:type="dxa" w:w="4212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45 分钟端到端演示剧本与常见异议应答</w:t>
            </w:r>
          </w:p>
        </w:tc>
        <w:tc>
          <w:tcPr>
            <w:tcW w:type="dxa" w:w="112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签约期</w:t>
            </w:r>
          </w:p>
        </w:tc>
      </w:tr>
      <w:tr>
        <w:tc>
          <w:tcPr>
            <w:tcW w:type="dxa" w:w="103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AF1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04</w:t>
            </w:r>
          </w:p>
        </w:tc>
        <w:tc>
          <w:tcPr>
            <w:tcW w:type="dxa" w:w="299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AF1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业务规则书（Rulebook）</w:t>
            </w:r>
          </w:p>
        </w:tc>
        <w:tc>
          <w:tcPr>
            <w:tcW w:type="dxa" w:w="4212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AF1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理赔规则全集：责任范围、免赔、比例、封顶、风控</w:t>
            </w:r>
          </w:p>
        </w:tc>
        <w:tc>
          <w:tcPr>
            <w:tcW w:type="dxa" w:w="112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AF1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开发期</w:t>
            </w:r>
          </w:p>
        </w:tc>
      </w:tr>
      <w:tr>
        <w:tc>
          <w:tcPr>
            <w:tcW w:type="dxa" w:w="103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05</w:t>
            </w:r>
          </w:p>
        </w:tc>
        <w:tc>
          <w:tcPr>
            <w:tcW w:type="dxa" w:w="299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接口契约与数据字典</w:t>
            </w:r>
          </w:p>
        </w:tc>
        <w:tc>
          <w:tcPr>
            <w:tcW w:type="dxa" w:w="4212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系统对接接口规范与核心数据字段定义</w:t>
            </w:r>
          </w:p>
        </w:tc>
        <w:tc>
          <w:tcPr>
            <w:tcW w:type="dxa" w:w="112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开发期</w:t>
            </w:r>
          </w:p>
        </w:tc>
      </w:tr>
      <w:tr>
        <w:tc>
          <w:tcPr>
            <w:tcW w:type="dxa" w:w="103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AF1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06</w:t>
            </w:r>
          </w:p>
        </w:tc>
        <w:tc>
          <w:tcPr>
            <w:tcW w:type="dxa" w:w="299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AF1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医学目录库建设方案</w:t>
            </w:r>
          </w:p>
        </w:tc>
        <w:tc>
          <w:tcPr>
            <w:tcW w:type="dxa" w:w="4212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AF1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医保 / 药品 / 疾病库数据来源与维护机制</w:t>
            </w:r>
          </w:p>
        </w:tc>
        <w:tc>
          <w:tcPr>
            <w:tcW w:type="dxa" w:w="112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AF1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开发期</w:t>
            </w:r>
          </w:p>
        </w:tc>
      </w:tr>
      <w:tr>
        <w:tc>
          <w:tcPr>
            <w:tcW w:type="dxa" w:w="103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07</w:t>
            </w:r>
          </w:p>
        </w:tc>
        <w:tc>
          <w:tcPr>
            <w:tcW w:type="dxa" w:w="299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测试方案与性能基准</w:t>
            </w:r>
          </w:p>
        </w:tc>
        <w:tc>
          <w:tcPr>
            <w:tcW w:type="dxa" w:w="4212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五层测试计划与 SLA 指标口径</w:t>
            </w:r>
          </w:p>
        </w:tc>
        <w:tc>
          <w:tcPr>
            <w:tcW w:type="dxa" w:w="112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试点准备</w:t>
            </w:r>
          </w:p>
        </w:tc>
      </w:tr>
      <w:tr>
        <w:tc>
          <w:tcPr>
            <w:tcW w:type="dxa" w:w="103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AF1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08</w:t>
            </w:r>
          </w:p>
        </w:tc>
        <w:tc>
          <w:tcPr>
            <w:tcW w:type="dxa" w:w="299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AF1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部署运维手册</w:t>
            </w:r>
          </w:p>
        </w:tc>
        <w:tc>
          <w:tcPr>
            <w:tcW w:type="dxa" w:w="4212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AF1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部署、监控、备份恢复、应急手册</w:t>
            </w:r>
          </w:p>
        </w:tc>
        <w:tc>
          <w:tcPr>
            <w:tcW w:type="dxa" w:w="112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AF1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试点准备</w:t>
            </w:r>
          </w:p>
        </w:tc>
      </w:tr>
      <w:tr>
        <w:tc>
          <w:tcPr>
            <w:tcW w:type="dxa" w:w="103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09</w:t>
            </w:r>
          </w:p>
        </w:tc>
        <w:tc>
          <w:tcPr>
            <w:tcW w:type="dxa" w:w="299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培训与用户手册</w:t>
            </w:r>
          </w:p>
        </w:tc>
        <w:tc>
          <w:tcPr>
            <w:tcW w:type="dxa" w:w="4212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核赔员 / 运营操作手册与人责归属说明</w:t>
            </w:r>
          </w:p>
        </w:tc>
        <w:tc>
          <w:tcPr>
            <w:tcW w:type="dxa" w:w="112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试点准备</w:t>
            </w:r>
          </w:p>
        </w:tc>
      </w:tr>
      <w:tr>
        <w:tc>
          <w:tcPr>
            <w:tcW w:type="dxa" w:w="103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AF1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10</w:t>
            </w:r>
          </w:p>
        </w:tc>
        <w:tc>
          <w:tcPr>
            <w:tcW w:type="dxa" w:w="299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AF1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商务方案与规模化准备</w:t>
            </w:r>
          </w:p>
        </w:tc>
        <w:tc>
          <w:tcPr>
            <w:tcW w:type="dxa" w:w="4212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AF1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定价模式与合同条款要点（内部材料）</w:t>
            </w:r>
          </w:p>
        </w:tc>
        <w:tc>
          <w:tcPr>
            <w:tcW w:type="dxa" w:w="112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AF1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规模化</w:t>
            </w:r>
          </w:p>
        </w:tc>
      </w:tr>
    </w:tbl>
    <w:p>
      <w:pPr>
        <w:pStyle w:val="Heading1"/>
        <w:keepNext/>
        <w:keepLines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三、交付节奏（四阶段）</w:t>
      </w:r>
    </w:p>
    <w:tbl>
      <w:tblPr>
        <w:tblW w:type="dxa" w:w="936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68"/>
        <w:gridCol w:w="1652"/>
        <w:gridCol w:w="3487"/>
        <w:gridCol w:w="2753"/>
      </w:tblGrid>
      <w:tr>
        <w:tc>
          <w:tcPr>
            <w:tcW w:type="dxa" w:w="146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阶段</w:t>
            </w:r>
          </w:p>
        </w:tc>
        <w:tc>
          <w:tcPr>
            <w:tcW w:type="dxa" w:w="1652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周期</w:t>
            </w:r>
          </w:p>
        </w:tc>
        <w:tc>
          <w:tcPr>
            <w:tcW w:type="dxa" w:w="3487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交付物</w:t>
            </w:r>
          </w:p>
        </w:tc>
        <w:tc>
          <w:tcPr>
            <w:tcW w:type="dxa" w:w="275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里程碑</w:t>
            </w:r>
          </w:p>
        </w:tc>
      </w:tr>
      <w:tr>
        <w:tc>
          <w:tcPr>
            <w:tcW w:type="dxa" w:w="146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签约期</w:t>
            </w:r>
          </w:p>
        </w:tc>
        <w:tc>
          <w:tcPr>
            <w:tcW w:type="dxa" w:w="1652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1-2 周</w:t>
            </w:r>
          </w:p>
        </w:tc>
        <w:tc>
          <w:tcPr>
            <w:tcW w:type="dxa" w:w="3487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01 协议、02 脱敏方案、03 演示脚本</w:t>
            </w:r>
          </w:p>
        </w:tc>
        <w:tc>
          <w:tcPr>
            <w:tcW w:type="dxa" w:w="275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双方签署三份协议，完成数据交接</w:t>
            </w:r>
          </w:p>
        </w:tc>
      </w:tr>
      <w:tr>
        <w:tc>
          <w:tcPr>
            <w:tcW w:type="dxa" w:w="146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AF1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开发期</w:t>
            </w:r>
          </w:p>
        </w:tc>
        <w:tc>
          <w:tcPr>
            <w:tcW w:type="dxa" w:w="1652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AF1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6-10 周</w:t>
            </w:r>
          </w:p>
        </w:tc>
        <w:tc>
          <w:tcPr>
            <w:tcW w:type="dxa" w:w="3487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AF1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04 规则书、05 接口契约、06 目录库</w:t>
            </w:r>
          </w:p>
        </w:tc>
        <w:tc>
          <w:tcPr>
            <w:tcW w:type="dxa" w:w="275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AF1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一张发票走通「上传 → 解析 → 核责 → 理算 → 建议」，30 秒内出结果</w:t>
            </w:r>
          </w:p>
        </w:tc>
      </w:tr>
      <w:tr>
        <w:tc>
          <w:tcPr>
            <w:tcW w:type="dxa" w:w="146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试点准备</w:t>
            </w:r>
          </w:p>
        </w:tc>
        <w:tc>
          <w:tcPr>
            <w:tcW w:type="dxa" w:w="1652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试点前 4 周</w:t>
            </w:r>
          </w:p>
        </w:tc>
        <w:tc>
          <w:tcPr>
            <w:tcW w:type="dxa" w:w="3487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07 测试方案、08 运维手册、09 培训手册</w:t>
            </w:r>
          </w:p>
        </w:tc>
        <w:tc>
          <w:tcPr>
            <w:tcW w:type="dxa" w:w="275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旁路（Shadow）模式接入贵司环境，评测报告交付</w:t>
            </w:r>
          </w:p>
        </w:tc>
      </w:tr>
      <w:tr>
        <w:tc>
          <w:tcPr>
            <w:tcW w:type="dxa" w:w="146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AF1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规模化</w:t>
            </w:r>
          </w:p>
        </w:tc>
        <w:tc>
          <w:tcPr>
            <w:tcW w:type="dxa" w:w="1652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AF1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Phase B 之后</w:t>
            </w:r>
          </w:p>
        </w:tc>
        <w:tc>
          <w:tcPr>
            <w:tcW w:type="dxa" w:w="3487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AF1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10 商务方案</w:t>
            </w:r>
          </w:p>
        </w:tc>
        <w:tc>
          <w:tcPr>
            <w:tcW w:type="dxa" w:w="275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AF1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试点达标后转入辅助上线与商务合作</w:t>
            </w:r>
          </w:p>
        </w:tc>
      </w:tr>
    </w:tbl>
    <w:p>
      <w:pPr>
        <w:pStyle w:val="Heading1"/>
        <w:keepNext/>
        <w:keepLines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四、服务承诺（量化口径）</w:t>
      </w:r>
    </w:p>
    <w:tbl>
      <w:tblPr>
        <w:tblW w:type="dxa" w:w="84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300"/>
        <w:gridCol w:w="3900"/>
      </w:tblGrid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指标</w:t>
            </w:r>
          </w:p>
        </w:tc>
        <w:tc>
          <w:tcPr>
            <w:tcW w:type="dxa" w:w="2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承诺口径</w:t>
            </w:r>
          </w:p>
        </w:tc>
        <w:tc>
          <w:tcPr>
            <w:tcW w:type="dxa" w:w="3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单案处理成本</w:t>
            </w:r>
          </w:p>
        </w:tc>
        <w:tc>
          <w:tcPr>
            <w:tcW w:type="dxa" w:w="2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下降 ≥50%</w:t>
            </w:r>
          </w:p>
        </w:tc>
        <w:tc>
          <w:tcPr>
            <w:tcW w:type="dxa" w:w="3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以贵司当前人工处理基线对比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AF1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审核建议时效</w:t>
            </w:r>
          </w:p>
        </w:tc>
        <w:tc>
          <w:tcPr>
            <w:tcW w:type="dxa" w:w="2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AF1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95% 请求 ≤30 秒返回</w:t>
            </w:r>
          </w:p>
        </w:tc>
        <w:tc>
          <w:tcPr>
            <w:tcW w:type="dxa" w:w="3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AF1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自动路径（材料解析 + 规则核责 + 理算）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字段提取准确率</w:t>
            </w:r>
          </w:p>
        </w:tc>
        <w:tc>
          <w:tcPr>
            <w:tcW w:type="dxa" w:w="2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≥95%</w:t>
            </w:r>
          </w:p>
        </w:tc>
        <w:tc>
          <w:tcPr>
            <w:tcW w:type="dxa" w:w="3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评测集对照人工标注，口径可审计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AF1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规则匹配准确率</w:t>
            </w:r>
          </w:p>
        </w:tc>
        <w:tc>
          <w:tcPr>
            <w:tcW w:type="dxa" w:w="2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AF1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≥90%</w:t>
            </w:r>
          </w:p>
        </w:tc>
        <w:tc>
          <w:tcPr>
            <w:tcW w:type="dxa" w:w="3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AF1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规则结果对照人工核责结论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人工复核率</w:t>
            </w:r>
          </w:p>
        </w:tc>
        <w:tc>
          <w:tcPr>
            <w:tcW w:type="dxa" w:w="2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≤30%</w:t>
            </w:r>
          </w:p>
        </w:tc>
        <w:tc>
          <w:tcPr>
            <w:tcW w:type="dxa" w:w="3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需人工介入案件占比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AF1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重大错误率</w:t>
            </w:r>
          </w:p>
        </w:tc>
        <w:tc>
          <w:tcPr>
            <w:tcW w:type="dxa" w:w="2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AF1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0 容忍</w:t>
            </w:r>
          </w:p>
        </w:tc>
        <w:tc>
          <w:tcPr>
            <w:tcW w:type="dxa" w:w="3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AF1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错赔 / 漏赔案件全部转人工兜底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试点接入</w:t>
            </w:r>
          </w:p>
        </w:tc>
        <w:tc>
          <w:tcPr>
            <w:tcW w:type="dxa" w:w="2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4-6 周旁路运行</w:t>
            </w:r>
          </w:p>
        </w:tc>
        <w:tc>
          <w:tcPr>
            <w:tcW w:type="dxa" w:w="3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只读接入，不改变现有流程，可随时回退</w:t>
            </w:r>
          </w:p>
        </w:tc>
      </w:tr>
    </w:tbl>
    <w:p>
      <w:pPr>
        <w:spacing w:before="200" w:line="20" w:lineRule="exact"/>
      </w:pPr>
    </w:p>
    <w:p>
      <w:pPr>
        <w:spacing w:after="160" w:line="380"/>
      </w:pPr>
      <w:r>
        <w:rPr>
          <w:rFonts w:ascii="Microsoft YaHei" w:cs="Microsoft YaHei" w:eastAsia="Microsoft YaHei" w:hAnsi="Microsoft YaHei"/>
          <w:color w:val="555555"/>
          <w:sz w:val="20"/>
          <w:szCs w:val="20"/>
        </w:rPr>
        <w:t xml:space="preserve">以上指标均以授权脱敏样本评测集为测量基准，评测方法与样本口径随交付物 04 / 07 提供，贵司可复核。</w:t>
      </w:r>
    </w:p>
    <w:p>
      <w:pPr>
        <w:pStyle w:val="Heading1"/>
        <w:keepNext/>
        <w:keepLines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五、合规与数据安全承诺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数据分级脱敏：敏感个人信息（病历、身份信息）默认不出域，处理遵循 PIPL 要求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协议保障：MOU / NDA / DPA 三份契约覆盖数据授权、用途限制、留存与删除义务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审计能力：每笔决策全程留痕（输入摘要、模型输出、动作结果），资金 / 决策日志保留 ≥7 年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人责归属：系统输出为辅助建议，最终审核结论由贵司核赔员 / 保司负责；重大错误率 0 容忍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应急响应：数据安全事件 24 小时内书面通知，附取证、整改与复盘流程</w:t>
      </w:r>
    </w:p>
    <w:p>
      <w:pPr>
        <w:pStyle w:val="Heading1"/>
        <w:keepNext/>
        <w:keepLines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六、联系与签署</w:t>
      </w:r>
    </w:p>
    <w:tbl>
      <w:tblPr>
        <w:tblW w:type="dxa" w:w="84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900"/>
        <w:gridCol w:w="3000"/>
      </w:tblGrid>
      <w:tr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角色</w:t>
            </w:r>
          </w:p>
        </w:tc>
        <w:tc>
          <w:tcPr>
            <w:tcW w:type="dxa" w:w="2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联系人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电话</w:t>
            </w:r>
          </w:p>
        </w:tc>
      </w:tr>
      <w:tr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商务联系人</w:t>
            </w:r>
          </w:p>
        </w:tc>
        <w:tc>
          <w:tcPr>
            <w:tcW w:type="dxa" w:w="2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＿＿＿＿＿＿＿＿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＿＿＿＿＿＿＿＿</w:t>
            </w:r>
          </w:p>
        </w:tc>
      </w:tr>
      <w:tr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AF1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技术联系人</w:t>
            </w:r>
          </w:p>
        </w:tc>
        <w:tc>
          <w:tcPr>
            <w:tcW w:type="dxa" w:w="2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AF1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＿＿＿＿＿＿＿＿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AF1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＿＿＿＿＿＿＿＿</w:t>
            </w:r>
          </w:p>
        </w:tc>
      </w:tr>
      <w:tr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数据接口人</w:t>
            </w:r>
          </w:p>
        </w:tc>
        <w:tc>
          <w:tcPr>
            <w:tcW w:type="dxa" w:w="2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＿＿＿＿＿＿＿＿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＿＿＿＿＿＿＿＿</w:t>
            </w:r>
          </w:p>
        </w:tc>
      </w:tr>
    </w:tbl>
    <w:p>
      <w:pPr>
        <w:spacing w:before="200" w:line="20" w:lineRule="exact"/>
      </w:pPr>
    </w:p>
    <w:p>
      <w:pPr>
        <w:spacing w:after="160" w:line="38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签署流程：NDA → MOU → DPA → 数据交接 → 旁路部署 → 评测报告（详见交付物 01）</w:t>
      </w:r>
    </w:p>
    <w:p>
      <w:pPr>
        <w:spacing w:before="400" w:line="20" w:lineRule="exact"/>
      </w:pPr>
    </w:p>
    <w:p>
      <w:pPr>
        <w:pBdr>
          <w:bottom w:val="single" w:color="1F4E79" w:sz="6"/>
        </w:pBdr>
        <w:spacing w:after="200"/>
      </w:pPr>
    </w:p>
    <w:p>
      <w:pPr>
        <w:spacing w:before="200" w:line="20" w:lineRule="exact"/>
      </w:pPr>
    </w:p>
    <w:p>
      <w:pPr>
        <w:spacing w:after="160" w:line="380"/>
        <w:jc w:val="center"/>
      </w:pPr>
      <w:r>
        <w:rPr>
          <w:rFonts w:ascii="Microsoft YaHei" w:cs="Microsoft YaHei" w:eastAsia="Microsoft YaHei" w:hAnsi="Microsoft YaHei"/>
          <w:color w:val="888888"/>
          <w:sz w:val="20"/>
          <w:szCs w:val="20"/>
        </w:rPr>
        <w:t xml:space="preserve">本清单为 synapClaim 落地交付包总览，各交付物详细内容见对应文档。版本 V1.0，2026-10-12。</w:t>
      </w:r>
    </w:p>
    <w:sectPr>
      <w:headerReference w:type="default" r:id="rId7"/>
      <w:footerReference w:type="default" r:id="rId8"/>
      <w:type w:val="nextPage"/>
      <w:pgSz w:w="12240" w:h="15840" w:orient="portrait"/>
      <w:pgMar w:top="1440" w:right="1440" w:bottom="1440" w:left="1440" w:header="708" w:footer="708" w:gutter="0"/>
      <w:pgNumType/>
      <w:cols w:num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160" w:line="380"/>
      <w:jc w:val="center"/>
    </w:pPr>
    <w:r>
      <w:rPr>
        <w:color w:val="999999"/>
        <w:sz w:val="18"/>
        <w:szCs w:val="18"/>
      </w:rPr>
      <w:t xml:space="preserve">— </w:t>
    </w: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60" w:line="380"/>
      <w:jc w:val="center"/>
    </w:pPr>
    <w:r>
      <w:rPr>
        <w:rFonts w:ascii="Microsoft YaHei" w:cs="Microsoft YaHei" w:eastAsia="Microsoft YaHei" w:hAnsi="Microsoft YaHei"/>
        <w:color w:val="999999"/>
        <w:sz w:val="18"/>
        <w:szCs w:val="18"/>
      </w:rPr>
      <w:t xml:space="preserve">synapClaim 智能理赔平台 · 落地交付包清单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)"/>
      <w:lvlJc w:val="left"/>
      <w:pPr>
        <w:ind w:left="14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)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333333"/>
        <w:sz w:val="22"/>
        <w:szCs w:val="22"/>
      </w:rPr>
    </w:rPrDefault>
    <w:pPrDefault>
      <w:pPr>
        <w:widowControl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200" w:before="360"/>
      <w:outlineLvl w:val="0"/>
    </w:pPr>
    <w:rPr>
      <w:rFonts w:ascii="Microsoft YaHei" w:cs="Microsoft YaHei" w:eastAsia="Microsoft YaHei" w:hAnsi="Microsoft YaHe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after="200" w:before="360"/>
      <w:outlineLvl w:val="1"/>
    </w:pPr>
    <w:rPr>
      <w:rFonts w:ascii="Microsoft YaHei" w:cs="Microsoft YaHei" w:eastAsia="Microsoft YaHei" w:hAnsi="Microsoft YaHe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keepLines/>
      <w:spacing w:after="200" w:before="360"/>
      <w:outlineLvl w:val="2"/>
    </w:pPr>
    <w:rPr>
      <w:rFonts w:ascii="Microsoft YaHei" w:cs="Microsoft YaHei" w:eastAsia="Microsoft YaHei" w:hAnsi="Microsoft YaHei"/>
      <w:b/>
      <w:bCs/>
      <w:color w:val="1F4E79"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keepLines/>
      <w:spacing w:after="200" w:before="360"/>
      <w:outlineLvl w:val="3"/>
    </w:pPr>
    <w:rPr>
      <w:rFonts w:ascii="Microsoft YaHei" w:cs="Microsoft YaHei" w:eastAsia="Microsoft YaHei" w:hAnsi="Microsoft YaHei"/>
      <w:b/>
      <w:bCs/>
      <w:color w:val="1F4E7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2026-10-12T12:27:29.244Z</dcterms:created>
  <dcterms:modified xsi:type="dcterms:W3CDTF">2026-10-12T12:27:29.244Z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