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Arial" w:hAnsi="Arial"/>
          <w:b/>
          <w:i w:val="0"/>
          <w:color w:val="2E74B5"/>
          <w:sz w:val="20"/>
        </w:rPr>
        <w:t>FINALIST NAME COMPARISON</w:t>
      </w:r>
    </w:p>
    <w:p>
      <w:pPr>
        <w:spacing w:after="100"/>
      </w:pPr>
      <w:r>
        <w:rPr>
          <w:rFonts w:ascii="Arial" w:hAnsi="Arial"/>
          <w:b/>
          <w:i w:val="0"/>
          <w:color w:val="17324D"/>
          <w:sz w:val="54"/>
        </w:rPr>
        <w:t>PFSS Commercial App Naming Review</w:t>
      </w:r>
    </w:p>
    <w:p>
      <w:pPr>
        <w:spacing w:after="280"/>
      </w:pPr>
      <w:r>
        <w:rPr>
          <w:rFonts w:ascii="Arial" w:hAnsi="Arial"/>
          <w:b w:val="0"/>
          <w:i w:val="0"/>
          <w:color w:val="1F4D78"/>
          <w:sz w:val="26"/>
        </w:rPr>
        <w:t>PlenaRoute  •  TelosRoute  •  MAVRUTE  •  RouteStride</w:t>
      </w:r>
    </w:p>
    <w:p>
      <w:pPr>
        <w:pBdr>
          <w:bottom w:val="single" w:sz="16" w:space="6" w:color="2E74B5"/>
        </w:pBdr>
        <w:spacing w:after="280"/>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FFF4D6"/>
          </w:tcPr>
          <w:p>
            <w:pPr>
              <w:spacing w:after="0"/>
            </w:pPr>
            <w:r>
              <w:rPr>
                <w:rFonts w:ascii="Arial" w:hAnsi="Arial"/>
                <w:b/>
                <w:i w:val="0"/>
                <w:color w:val="7A5A00"/>
                <w:sz w:val="21"/>
              </w:rPr>
              <w:t xml:space="preserve">CURRENT POSITION  </w:t>
            </w:r>
            <w:r>
              <w:rPr>
                <w:rFonts w:ascii="Arial" w:hAnsi="Arial"/>
                <w:b w:val="0"/>
                <w:i w:val="0"/>
                <w:color w:val="111111"/>
                <w:sz w:val="21"/>
              </w:rPr>
              <w:t>No finalist is fully cleared. PlenaRoute leads the working list, but every candidate still requires a professional U.S. trademark knockout search before adoption.</w:t>
            </w:r>
          </w:p>
        </w:tc>
      </w:tr>
    </w:tbl>
    <w:p>
      <w:pPr>
        <w:spacing w:after="40"/>
      </w:pPr>
    </w:p>
    <w:p>
      <w:pPr>
        <w:pStyle w:val="Heading1"/>
      </w:pPr>
      <w:r>
        <w:t>Executive Summary</w:t>
      </w:r>
    </w:p>
    <w:p>
      <w:r>
        <w:t>The four finalists represent two different naming strategies. PlenaRoute and TelosRoute combine a meaningful classical root with “Route.” MAVRUTE is the strongest invented visual identity, while RouteStride is the most immediately understandable operational name. The central decision is whether PFSS should favor deeper brand meaning and stronger ownability, or immediate customer comprehension.</w:t>
      </w:r>
    </w:p>
    <w:p>
      <w:pPr>
        <w:pStyle w:val="BriefLabel"/>
      </w:pPr>
      <w:r>
        <w:t>Current working order</w:t>
      </w:r>
    </w:p>
    <w:p>
      <w:pPr>
        <w:spacing w:after="140"/>
      </w:pPr>
      <w:r>
        <w:t>1. Open  |  2. PlenaRoute  |  3. TelosRoute  |  4. MAVRUTE  |  5. RouteStride</w:t>
      </w:r>
    </w:p>
    <w:p>
      <w:pPr>
        <w:pStyle w:val="BriefLabel"/>
      </w:pPr>
      <w:r>
        <w:t>Most promising balance</w:t>
      </w:r>
    </w:p>
    <w:p>
      <w:pPr>
        <w:spacing w:after="140"/>
      </w:pPr>
      <w:r>
        <w:t>PlenaRoute currently offers the best blend of meaning, relevance, domain position, and exact-name availability. Its primary issue is the crowded Plena / Plenar / Plenary software neighborhood.</w:t>
      </w:r>
    </w:p>
    <w:p>
      <w:pPr>
        <w:pStyle w:val="BriefLabel"/>
      </w:pPr>
      <w:r>
        <w:t>Lowest conceptual friction</w:t>
      </w:r>
    </w:p>
    <w:p>
      <w:pPr>
        <w:spacing w:after="140"/>
      </w:pPr>
      <w:r>
        <w:t>RouteStride is easiest to understand and pronounce. Its weakness is lower distinctiveness and a more descriptive, route-centered identity.</w:t>
      </w:r>
    </w:p>
    <w:p>
      <w:pPr>
        <w:pStyle w:val="BriefLabel"/>
      </w:pPr>
      <w:r>
        <w:t>Highest similarity concern</w:t>
      </w:r>
    </w:p>
    <w:p>
      <w:pPr>
        <w:spacing w:after="140"/>
      </w:pPr>
      <w:r>
        <w:t>MAVRUTE is compelling as an invented word, but the active MavenRoute mobile and web software ecosystem creates a material similarity issue.</w:t>
      </w:r>
    </w:p>
    <w:p>
      <w:pPr>
        <w:pStyle w:val="Heading2"/>
      </w:pPr>
      <w:r>
        <w:t>Decision Principle</w:t>
      </w:r>
    </w:p>
    <w:p>
      <w:r>
        <w:t>The selected name should remain credible if PFSS expands beyond routing into CRM, workforce management, payments, reporting, inventory, and broader business operations. It must also survive verbal use, App Store search, and formal trademark review.</w:t>
      </w:r>
    </w:p>
    <w:p>
      <w:r>
        <w:br w:type="page"/>
      </w:r>
    </w:p>
    <w:p>
      <w:pPr>
        <w:pStyle w:val="Heading1"/>
      </w:pPr>
      <w:r>
        <w:t>Finalist Decision Matrix</w:t>
      </w:r>
    </w:p>
    <w:p>
      <w:r>
        <w:t>Scores are working brand assessments, not legal conclusions. “Clearance” reflects preliminary exact-name and marketplace research only.</w:t>
      </w:r>
    </w:p>
    <w:tbl>
      <w:tblPr>
        <w:tblStyle w:val="TableGrid"/>
        <w:tblW w:type="dxa" w:w="9360"/>
        <w:jc w:val="left"/>
        <w:tblLayout w:type="fixed"/>
        <w:tblLook w:firstColumn="1" w:firstRow="1" w:lastColumn="0" w:lastRow="0" w:noHBand="0" w:noVBand="1" w:val="04A0"/>
        <w:tblInd w:w="120" w:type="dxa"/>
      </w:tblPr>
      <w:tblGrid>
        <w:gridCol w:w="1450"/>
        <w:gridCol w:w="1750"/>
        <w:gridCol w:w="1700"/>
        <w:gridCol w:w="2100"/>
        <w:gridCol w:w="1200"/>
        <w:gridCol w:w="1160"/>
      </w:tblGrid>
      <w:tr>
        <w:tc>
          <w:tcPr>
            <w:tcW w:type="dxa" w:w="1450"/>
            <w:shd w:fill="17324D"/>
            <w:tcMar>
              <w:top w:w="90" w:type="dxa"/>
              <w:start w:w="110" w:type="dxa"/>
              <w:bottom w:w="90" w:type="dxa"/>
              <w:end w:w="110" w:type="dxa"/>
            </w:tcMar>
            <w:vAlign w:val="center"/>
          </w:tcPr>
          <w:p>
            <w:pPr>
              <w:jc w:val="center"/>
            </w:pPr>
            <w:r>
              <w:rPr>
                <w:rFonts w:ascii="Arial" w:hAnsi="Arial"/>
                <w:b/>
                <w:i w:val="0"/>
                <w:color w:val="FFFFFF"/>
                <w:sz w:val="16"/>
              </w:rPr>
              <w:t>Candidate</w:t>
            </w:r>
          </w:p>
        </w:tc>
        <w:tc>
          <w:tcPr>
            <w:tcW w:type="dxa" w:w="1750"/>
            <w:shd w:fill="17324D"/>
            <w:tcMar>
              <w:top w:w="90" w:type="dxa"/>
              <w:start w:w="110" w:type="dxa"/>
              <w:bottom w:w="90" w:type="dxa"/>
              <w:end w:w="110" w:type="dxa"/>
            </w:tcMar>
            <w:vAlign w:val="center"/>
          </w:tcPr>
          <w:p>
            <w:pPr>
              <w:jc w:val="center"/>
            </w:pPr>
            <w:r>
              <w:rPr>
                <w:rFonts w:ascii="Arial" w:hAnsi="Arial"/>
                <w:b/>
                <w:i w:val="0"/>
                <w:color w:val="FFFFFF"/>
                <w:sz w:val="16"/>
              </w:rPr>
              <w:t>Core idea</w:t>
            </w:r>
          </w:p>
        </w:tc>
        <w:tc>
          <w:tcPr>
            <w:tcW w:type="dxa" w:w="1700"/>
            <w:shd w:fill="17324D"/>
            <w:tcMar>
              <w:top w:w="90" w:type="dxa"/>
              <w:start w:w="110" w:type="dxa"/>
              <w:bottom w:w="90" w:type="dxa"/>
              <w:end w:w="110" w:type="dxa"/>
            </w:tcMar>
            <w:vAlign w:val="center"/>
          </w:tcPr>
          <w:p>
            <w:pPr>
              <w:jc w:val="center"/>
            </w:pPr>
            <w:r>
              <w:rPr>
                <w:rFonts w:ascii="Arial" w:hAnsi="Arial"/>
                <w:b/>
                <w:i w:val="0"/>
                <w:color w:val="FFFFFF"/>
                <w:sz w:val="16"/>
              </w:rPr>
              <w:t>Strength</w:t>
            </w:r>
          </w:p>
        </w:tc>
        <w:tc>
          <w:tcPr>
            <w:tcW w:type="dxa" w:w="2100"/>
            <w:shd w:fill="17324D"/>
            <w:tcMar>
              <w:top w:w="90" w:type="dxa"/>
              <w:start w:w="110" w:type="dxa"/>
              <w:bottom w:w="90" w:type="dxa"/>
              <w:end w:w="110" w:type="dxa"/>
            </w:tcMar>
            <w:vAlign w:val="center"/>
          </w:tcPr>
          <w:p>
            <w:pPr>
              <w:jc w:val="center"/>
            </w:pPr>
            <w:r>
              <w:rPr>
                <w:rFonts w:ascii="Arial" w:hAnsi="Arial"/>
                <w:b/>
                <w:i w:val="0"/>
                <w:color w:val="FFFFFF"/>
                <w:sz w:val="16"/>
              </w:rPr>
              <w:t>Primary risk</w:t>
            </w:r>
          </w:p>
        </w:tc>
        <w:tc>
          <w:tcPr>
            <w:tcW w:type="dxa" w:w="1200"/>
            <w:shd w:fill="17324D"/>
            <w:tcMar>
              <w:top w:w="90" w:type="dxa"/>
              <w:start w:w="110" w:type="dxa"/>
              <w:bottom w:w="90" w:type="dxa"/>
              <w:end w:w="110" w:type="dxa"/>
            </w:tcMar>
            <w:vAlign w:val="center"/>
          </w:tcPr>
          <w:p>
            <w:pPr>
              <w:jc w:val="center"/>
            </w:pPr>
            <w:r>
              <w:rPr>
                <w:rFonts w:ascii="Arial" w:hAnsi="Arial"/>
                <w:b/>
                <w:i w:val="0"/>
                <w:color w:val="FFFFFF"/>
                <w:sz w:val="16"/>
              </w:rPr>
              <w:t>Prelim. clearance</w:t>
            </w:r>
          </w:p>
        </w:tc>
        <w:tc>
          <w:tcPr>
            <w:tcW w:type="dxa" w:w="1160"/>
            <w:shd w:fill="17324D"/>
            <w:tcMar>
              <w:top w:w="90" w:type="dxa"/>
              <w:start w:w="110" w:type="dxa"/>
              <w:bottom w:w="90" w:type="dxa"/>
              <w:end w:w="110" w:type="dxa"/>
            </w:tcMar>
            <w:vAlign w:val="center"/>
          </w:tcPr>
          <w:p>
            <w:pPr>
              <w:jc w:val="center"/>
            </w:pPr>
            <w:r>
              <w:rPr>
                <w:rFonts w:ascii="Arial" w:hAnsi="Arial"/>
                <w:b/>
                <w:i w:val="0"/>
                <w:color w:val="FFFFFF"/>
                <w:sz w:val="16"/>
              </w:rPr>
              <w:t>Working score</w:t>
            </w:r>
          </w:p>
        </w:tc>
      </w:tr>
      <w:tr>
        <w:tc>
          <w:tcPr>
            <w:tcW w:type="dxa" w:w="1450"/>
            <w:tcMar>
              <w:top w:w="90" w:type="dxa"/>
              <w:start w:w="110" w:type="dxa"/>
              <w:bottom w:w="90" w:type="dxa"/>
              <w:end w:w="110" w:type="dxa"/>
            </w:tcMar>
            <w:vAlign w:val="center"/>
          </w:tcPr>
          <w:p>
            <w:pPr>
              <w:jc w:val="left"/>
            </w:pPr>
            <w:r>
              <w:rPr>
                <w:rFonts w:ascii="Arial" w:hAnsi="Arial"/>
                <w:b/>
                <w:i w:val="0"/>
                <w:color w:val="17324D"/>
                <w:sz w:val="16"/>
              </w:rPr>
              <w:t>PlenaRoute</w:t>
            </w:r>
          </w:p>
        </w:tc>
        <w:tc>
          <w:tcPr>
            <w:tcW w:type="dxa" w:w="1750"/>
            <w:tcMar>
              <w:top w:w="90" w:type="dxa"/>
              <w:start w:w="110" w:type="dxa"/>
              <w:bottom w:w="90" w:type="dxa"/>
              <w:end w:w="110" w:type="dxa"/>
            </w:tcMar>
            <w:vAlign w:val="center"/>
          </w:tcPr>
          <w:p>
            <w:pPr>
              <w:jc w:val="left"/>
            </w:pPr>
            <w:r>
              <w:rPr>
                <w:rFonts w:ascii="Arial" w:hAnsi="Arial"/>
                <w:b w:val="0"/>
                <w:i w:val="0"/>
                <w:color w:val="111111"/>
                <w:sz w:val="16"/>
              </w:rPr>
              <w:t>Complete route from lead to paid</w:t>
            </w:r>
          </w:p>
        </w:tc>
        <w:tc>
          <w:tcPr>
            <w:tcW w:type="dxa" w:w="1700"/>
            <w:tcMar>
              <w:top w:w="90" w:type="dxa"/>
              <w:start w:w="110" w:type="dxa"/>
              <w:bottom w:w="90" w:type="dxa"/>
              <w:end w:w="110" w:type="dxa"/>
            </w:tcMar>
            <w:vAlign w:val="center"/>
          </w:tcPr>
          <w:p>
            <w:pPr>
              <w:jc w:val="left"/>
            </w:pPr>
            <w:r>
              <w:rPr>
                <w:rFonts w:ascii="Arial" w:hAnsi="Arial"/>
                <w:b w:val="0"/>
                <w:i w:val="0"/>
                <w:color w:val="111111"/>
                <w:sz w:val="16"/>
              </w:rPr>
              <w:t>Best overall balance of meaning and availability</w:t>
            </w:r>
          </w:p>
        </w:tc>
        <w:tc>
          <w:tcPr>
            <w:tcW w:type="dxa" w:w="2100"/>
            <w:tcMar>
              <w:top w:w="90" w:type="dxa"/>
              <w:start w:w="110" w:type="dxa"/>
              <w:bottom w:w="90" w:type="dxa"/>
              <w:end w:w="110" w:type="dxa"/>
            </w:tcMar>
            <w:vAlign w:val="center"/>
          </w:tcPr>
          <w:p>
            <w:pPr>
              <w:jc w:val="left"/>
            </w:pPr>
            <w:r>
              <w:rPr>
                <w:rFonts w:ascii="Arial" w:hAnsi="Arial"/>
                <w:b w:val="0"/>
                <w:i w:val="0"/>
                <w:color w:val="111111"/>
                <w:sz w:val="16"/>
              </w:rPr>
              <w:t>Plena / Plenar / Plenary software crowding</w:t>
            </w:r>
          </w:p>
        </w:tc>
        <w:tc>
          <w:tcPr>
            <w:tcW w:type="dxa" w:w="1200"/>
            <w:tcMar>
              <w:top w:w="90" w:type="dxa"/>
              <w:start w:w="110" w:type="dxa"/>
              <w:bottom w:w="90" w:type="dxa"/>
              <w:end w:w="110" w:type="dxa"/>
            </w:tcMar>
            <w:vAlign w:val="center"/>
          </w:tcPr>
          <w:p>
            <w:pPr>
              <w:jc w:val="center"/>
            </w:pPr>
            <w:r>
              <w:rPr>
                <w:rFonts w:ascii="Arial" w:hAnsi="Arial"/>
                <w:b w:val="0"/>
                <w:i w:val="0"/>
                <w:color w:val="111111"/>
                <w:sz w:val="16"/>
              </w:rPr>
              <w:t>Conditional</w:t>
            </w:r>
          </w:p>
        </w:tc>
        <w:tc>
          <w:tcPr>
            <w:tcW w:type="dxa" w:w="1160"/>
            <w:tcMar>
              <w:top w:w="90" w:type="dxa"/>
              <w:start w:w="110" w:type="dxa"/>
              <w:bottom w:w="90" w:type="dxa"/>
              <w:end w:w="110" w:type="dxa"/>
            </w:tcMar>
            <w:vAlign w:val="center"/>
          </w:tcPr>
          <w:p>
            <w:pPr>
              <w:jc w:val="center"/>
            </w:pPr>
            <w:r>
              <w:rPr>
                <w:rFonts w:ascii="Arial" w:hAnsi="Arial"/>
                <w:b/>
                <w:i w:val="0"/>
                <w:color w:val="17324D"/>
                <w:sz w:val="16"/>
              </w:rPr>
              <w:t>8.0 / 10</w:t>
            </w:r>
          </w:p>
        </w:tc>
      </w:tr>
      <w:tr>
        <w:tc>
          <w:tcPr>
            <w:tcW w:type="dxa" w:w="1450"/>
            <w:shd w:fill="F2F4F7"/>
            <w:tcMar>
              <w:top w:w="90" w:type="dxa"/>
              <w:start w:w="110" w:type="dxa"/>
              <w:bottom w:w="90" w:type="dxa"/>
              <w:end w:w="110" w:type="dxa"/>
            </w:tcMar>
            <w:vAlign w:val="center"/>
          </w:tcPr>
          <w:p>
            <w:pPr>
              <w:jc w:val="left"/>
            </w:pPr>
            <w:r>
              <w:rPr>
                <w:rFonts w:ascii="Arial" w:hAnsi="Arial"/>
                <w:b/>
                <w:i w:val="0"/>
                <w:color w:val="17324D"/>
                <w:sz w:val="16"/>
              </w:rPr>
              <w:t>TelosRoute</w:t>
            </w:r>
          </w:p>
        </w:tc>
        <w:tc>
          <w:tcPr>
            <w:tcW w:type="dxa" w:w="1750"/>
            <w:shd w:fill="F2F4F7"/>
            <w:tcMar>
              <w:top w:w="90" w:type="dxa"/>
              <w:start w:w="110" w:type="dxa"/>
              <w:bottom w:w="90" w:type="dxa"/>
              <w:end w:w="110" w:type="dxa"/>
            </w:tcMar>
            <w:vAlign w:val="center"/>
          </w:tcPr>
          <w:p>
            <w:pPr>
              <w:jc w:val="left"/>
            </w:pPr>
            <w:r>
              <w:rPr>
                <w:rFonts w:ascii="Arial" w:hAnsi="Arial"/>
                <w:b w:val="0"/>
                <w:i w:val="0"/>
                <w:color w:val="111111"/>
                <w:sz w:val="16"/>
              </w:rPr>
              <w:t>The route to the intended result</w:t>
            </w:r>
          </w:p>
        </w:tc>
        <w:tc>
          <w:tcPr>
            <w:tcW w:type="dxa" w:w="1700"/>
            <w:shd w:fill="F2F4F7"/>
            <w:tcMar>
              <w:top w:w="90" w:type="dxa"/>
              <w:start w:w="110" w:type="dxa"/>
              <w:bottom w:w="90" w:type="dxa"/>
              <w:end w:w="110" w:type="dxa"/>
            </w:tcMar>
            <w:vAlign w:val="center"/>
          </w:tcPr>
          <w:p>
            <w:pPr>
              <w:jc w:val="left"/>
            </w:pPr>
            <w:r>
              <w:rPr>
                <w:rFonts w:ascii="Arial" w:hAnsi="Arial"/>
                <w:b w:val="0"/>
                <w:i w:val="0"/>
                <w:color w:val="111111"/>
                <w:sz w:val="16"/>
              </w:rPr>
              <w:t>Deep purpose story and clean exact-name footprint</w:t>
            </w:r>
          </w:p>
        </w:tc>
        <w:tc>
          <w:tcPr>
            <w:tcW w:type="dxa" w:w="2100"/>
            <w:shd w:fill="F2F4F7"/>
            <w:tcMar>
              <w:top w:w="90" w:type="dxa"/>
              <w:start w:w="110" w:type="dxa"/>
              <w:bottom w:w="90" w:type="dxa"/>
              <w:end w:w="110" w:type="dxa"/>
            </w:tcMar>
            <w:vAlign w:val="center"/>
          </w:tcPr>
          <w:p>
            <w:pPr>
              <w:jc w:val="left"/>
            </w:pPr>
            <w:r>
              <w:rPr>
                <w:rFonts w:ascii="Arial" w:hAnsi="Arial"/>
                <w:b w:val="0"/>
                <w:i w:val="0"/>
                <w:color w:val="111111"/>
                <w:sz w:val="16"/>
              </w:rPr>
              <w:t>TELOS is crowded across enterprise software</w:t>
            </w:r>
          </w:p>
        </w:tc>
        <w:tc>
          <w:tcPr>
            <w:tcW w:type="dxa" w:w="1200"/>
            <w:shd w:fill="F2F4F7"/>
            <w:tcMar>
              <w:top w:w="90" w:type="dxa"/>
              <w:start w:w="110" w:type="dxa"/>
              <w:bottom w:w="90" w:type="dxa"/>
              <w:end w:w="110" w:type="dxa"/>
            </w:tcMar>
            <w:vAlign w:val="center"/>
          </w:tcPr>
          <w:p>
            <w:pPr>
              <w:jc w:val="center"/>
            </w:pPr>
            <w:r>
              <w:rPr>
                <w:rFonts w:ascii="Arial" w:hAnsi="Arial"/>
                <w:b w:val="0"/>
                <w:i w:val="0"/>
                <w:color w:val="111111"/>
                <w:sz w:val="16"/>
              </w:rPr>
              <w:t>Conditional</w:t>
            </w:r>
          </w:p>
        </w:tc>
        <w:tc>
          <w:tcPr>
            <w:tcW w:type="dxa" w:w="1160"/>
            <w:shd w:fill="F2F4F7"/>
            <w:tcMar>
              <w:top w:w="90" w:type="dxa"/>
              <w:start w:w="110" w:type="dxa"/>
              <w:bottom w:w="90" w:type="dxa"/>
              <w:end w:w="110" w:type="dxa"/>
            </w:tcMar>
            <w:vAlign w:val="center"/>
          </w:tcPr>
          <w:p>
            <w:pPr>
              <w:jc w:val="center"/>
            </w:pPr>
            <w:r>
              <w:rPr>
                <w:rFonts w:ascii="Arial" w:hAnsi="Arial"/>
                <w:b/>
                <w:i w:val="0"/>
                <w:color w:val="17324D"/>
                <w:sz w:val="16"/>
              </w:rPr>
              <w:t>7.5 / 10</w:t>
            </w:r>
          </w:p>
        </w:tc>
      </w:tr>
      <w:tr>
        <w:tc>
          <w:tcPr>
            <w:tcW w:type="dxa" w:w="1450"/>
            <w:tcMar>
              <w:top w:w="90" w:type="dxa"/>
              <w:start w:w="110" w:type="dxa"/>
              <w:bottom w:w="90" w:type="dxa"/>
              <w:end w:w="110" w:type="dxa"/>
            </w:tcMar>
            <w:vAlign w:val="center"/>
          </w:tcPr>
          <w:p>
            <w:pPr>
              <w:jc w:val="left"/>
            </w:pPr>
            <w:r>
              <w:rPr>
                <w:rFonts w:ascii="Arial" w:hAnsi="Arial"/>
                <w:b/>
                <w:i w:val="0"/>
                <w:color w:val="17324D"/>
                <w:sz w:val="16"/>
              </w:rPr>
              <w:t>MAVRUTE</w:t>
            </w:r>
          </w:p>
        </w:tc>
        <w:tc>
          <w:tcPr>
            <w:tcW w:type="dxa" w:w="1750"/>
            <w:tcMar>
              <w:top w:w="90" w:type="dxa"/>
              <w:start w:w="110" w:type="dxa"/>
              <w:bottom w:w="90" w:type="dxa"/>
              <w:end w:w="110" w:type="dxa"/>
            </w:tcMar>
            <w:vAlign w:val="center"/>
          </w:tcPr>
          <w:p>
            <w:pPr>
              <w:jc w:val="left"/>
            </w:pPr>
            <w:r>
              <w:rPr>
                <w:rFonts w:ascii="Arial" w:hAnsi="Arial"/>
                <w:b w:val="0"/>
                <w:i w:val="0"/>
                <w:color w:val="111111"/>
                <w:sz w:val="16"/>
              </w:rPr>
              <w:t>Expertise and route in an invented form</w:t>
            </w:r>
          </w:p>
        </w:tc>
        <w:tc>
          <w:tcPr>
            <w:tcW w:type="dxa" w:w="1700"/>
            <w:tcMar>
              <w:top w:w="90" w:type="dxa"/>
              <w:start w:w="110" w:type="dxa"/>
              <w:bottom w:w="90" w:type="dxa"/>
              <w:end w:w="110" w:type="dxa"/>
            </w:tcMar>
            <w:vAlign w:val="center"/>
          </w:tcPr>
          <w:p>
            <w:pPr>
              <w:jc w:val="left"/>
            </w:pPr>
            <w:r>
              <w:rPr>
                <w:rFonts w:ascii="Arial" w:hAnsi="Arial"/>
                <w:b w:val="0"/>
                <w:i w:val="0"/>
                <w:color w:val="111111"/>
                <w:sz w:val="16"/>
              </w:rPr>
              <w:t>Strongest invented visual identity</w:t>
            </w:r>
          </w:p>
        </w:tc>
        <w:tc>
          <w:tcPr>
            <w:tcW w:type="dxa" w:w="2100"/>
            <w:tcMar>
              <w:top w:w="90" w:type="dxa"/>
              <w:start w:w="110" w:type="dxa"/>
              <w:bottom w:w="90" w:type="dxa"/>
              <w:end w:w="110" w:type="dxa"/>
            </w:tcMar>
            <w:vAlign w:val="center"/>
          </w:tcPr>
          <w:p>
            <w:pPr>
              <w:jc w:val="left"/>
            </w:pPr>
            <w:r>
              <w:rPr>
                <w:rFonts w:ascii="Arial" w:hAnsi="Arial"/>
                <w:b w:val="0"/>
                <w:i w:val="0"/>
                <w:color w:val="111111"/>
                <w:sz w:val="16"/>
              </w:rPr>
              <w:t>Active MavenRoute routing software</w:t>
            </w:r>
          </w:p>
        </w:tc>
        <w:tc>
          <w:tcPr>
            <w:tcW w:type="dxa" w:w="1200"/>
            <w:tcMar>
              <w:top w:w="90" w:type="dxa"/>
              <w:start w:w="110" w:type="dxa"/>
              <w:bottom w:w="90" w:type="dxa"/>
              <w:end w:w="110" w:type="dxa"/>
            </w:tcMar>
            <w:vAlign w:val="center"/>
          </w:tcPr>
          <w:p>
            <w:pPr>
              <w:jc w:val="center"/>
            </w:pPr>
            <w:r>
              <w:rPr>
                <w:rFonts w:ascii="Arial" w:hAnsi="Arial"/>
                <w:b w:val="0"/>
                <w:i w:val="0"/>
                <w:color w:val="111111"/>
                <w:sz w:val="16"/>
              </w:rPr>
              <w:t>Elevated risk</w:t>
            </w:r>
          </w:p>
        </w:tc>
        <w:tc>
          <w:tcPr>
            <w:tcW w:type="dxa" w:w="1160"/>
            <w:tcMar>
              <w:top w:w="90" w:type="dxa"/>
              <w:start w:w="110" w:type="dxa"/>
              <w:bottom w:w="90" w:type="dxa"/>
              <w:end w:w="110" w:type="dxa"/>
            </w:tcMar>
            <w:vAlign w:val="center"/>
          </w:tcPr>
          <w:p>
            <w:pPr>
              <w:jc w:val="center"/>
            </w:pPr>
            <w:r>
              <w:rPr>
                <w:rFonts w:ascii="Arial" w:hAnsi="Arial"/>
                <w:b/>
                <w:i w:val="0"/>
                <w:color w:val="17324D"/>
                <w:sz w:val="16"/>
              </w:rPr>
              <w:t>6.5 / 10</w:t>
            </w:r>
          </w:p>
        </w:tc>
      </w:tr>
      <w:tr>
        <w:tc>
          <w:tcPr>
            <w:tcW w:type="dxa" w:w="1450"/>
            <w:shd w:fill="F2F4F7"/>
            <w:tcMar>
              <w:top w:w="90" w:type="dxa"/>
              <w:start w:w="110" w:type="dxa"/>
              <w:bottom w:w="90" w:type="dxa"/>
              <w:end w:w="110" w:type="dxa"/>
            </w:tcMar>
            <w:vAlign w:val="center"/>
          </w:tcPr>
          <w:p>
            <w:pPr>
              <w:jc w:val="left"/>
            </w:pPr>
            <w:r>
              <w:rPr>
                <w:rFonts w:ascii="Arial" w:hAnsi="Arial"/>
                <w:b/>
                <w:i w:val="0"/>
                <w:color w:val="17324D"/>
                <w:sz w:val="16"/>
              </w:rPr>
              <w:t>RouteStride</w:t>
            </w:r>
          </w:p>
        </w:tc>
        <w:tc>
          <w:tcPr>
            <w:tcW w:type="dxa" w:w="1750"/>
            <w:shd w:fill="F2F4F7"/>
            <w:tcMar>
              <w:top w:w="90" w:type="dxa"/>
              <w:start w:w="110" w:type="dxa"/>
              <w:bottom w:w="90" w:type="dxa"/>
              <w:end w:w="110" w:type="dxa"/>
            </w:tcMar>
            <w:vAlign w:val="center"/>
          </w:tcPr>
          <w:p>
            <w:pPr>
              <w:jc w:val="left"/>
            </w:pPr>
            <w:r>
              <w:rPr>
                <w:rFonts w:ascii="Arial" w:hAnsi="Arial"/>
                <w:b w:val="0"/>
                <w:i w:val="0"/>
                <w:color w:val="111111"/>
                <w:sz w:val="16"/>
              </w:rPr>
              <w:t>Confident operational progress</w:t>
            </w:r>
          </w:p>
        </w:tc>
        <w:tc>
          <w:tcPr>
            <w:tcW w:type="dxa" w:w="1700"/>
            <w:shd w:fill="F2F4F7"/>
            <w:tcMar>
              <w:top w:w="90" w:type="dxa"/>
              <w:start w:w="110" w:type="dxa"/>
              <w:bottom w:w="90" w:type="dxa"/>
              <w:end w:w="110" w:type="dxa"/>
            </w:tcMar>
            <w:vAlign w:val="center"/>
          </w:tcPr>
          <w:p>
            <w:pPr>
              <w:jc w:val="left"/>
            </w:pPr>
            <w:r>
              <w:rPr>
                <w:rFonts w:ascii="Arial" w:hAnsi="Arial"/>
                <w:b w:val="0"/>
                <w:i w:val="0"/>
                <w:color w:val="111111"/>
                <w:sz w:val="16"/>
              </w:rPr>
              <w:t>Immediate clarity and easy pronunciation</w:t>
            </w:r>
          </w:p>
        </w:tc>
        <w:tc>
          <w:tcPr>
            <w:tcW w:type="dxa" w:w="2100"/>
            <w:shd w:fill="F2F4F7"/>
            <w:tcMar>
              <w:top w:w="90" w:type="dxa"/>
              <w:start w:w="110" w:type="dxa"/>
              <w:bottom w:w="90" w:type="dxa"/>
              <w:end w:w="110" w:type="dxa"/>
            </w:tcMar>
            <w:vAlign w:val="center"/>
          </w:tcPr>
          <w:p>
            <w:pPr>
              <w:jc w:val="left"/>
            </w:pPr>
            <w:r>
              <w:rPr>
                <w:rFonts w:ascii="Arial" w:hAnsi="Arial"/>
                <w:b w:val="0"/>
                <w:i w:val="0"/>
                <w:color w:val="111111"/>
                <w:sz w:val="16"/>
              </w:rPr>
              <w:t>Descriptive; narrower route emphasis</w:t>
            </w:r>
          </w:p>
        </w:tc>
        <w:tc>
          <w:tcPr>
            <w:tcW w:type="dxa" w:w="1200"/>
            <w:shd w:fill="F2F4F7"/>
            <w:tcMar>
              <w:top w:w="90" w:type="dxa"/>
              <w:start w:w="110" w:type="dxa"/>
              <w:bottom w:w="90" w:type="dxa"/>
              <w:end w:w="110" w:type="dxa"/>
            </w:tcMar>
            <w:vAlign w:val="center"/>
          </w:tcPr>
          <w:p>
            <w:pPr>
              <w:jc w:val="center"/>
            </w:pPr>
            <w:r>
              <w:rPr>
                <w:rFonts w:ascii="Arial" w:hAnsi="Arial"/>
                <w:b w:val="0"/>
                <w:i w:val="0"/>
                <w:color w:val="111111"/>
                <w:sz w:val="16"/>
              </w:rPr>
              <w:t>Best of four</w:t>
            </w:r>
          </w:p>
        </w:tc>
        <w:tc>
          <w:tcPr>
            <w:tcW w:type="dxa" w:w="1160"/>
            <w:shd w:fill="F2F4F7"/>
            <w:tcMar>
              <w:top w:w="90" w:type="dxa"/>
              <w:start w:w="110" w:type="dxa"/>
              <w:bottom w:w="90" w:type="dxa"/>
              <w:end w:w="110" w:type="dxa"/>
            </w:tcMar>
            <w:vAlign w:val="center"/>
          </w:tcPr>
          <w:p>
            <w:pPr>
              <w:jc w:val="center"/>
            </w:pPr>
            <w:r>
              <w:rPr>
                <w:rFonts w:ascii="Arial" w:hAnsi="Arial"/>
                <w:b/>
                <w:i w:val="0"/>
                <w:color w:val="17324D"/>
                <w:sz w:val="16"/>
              </w:rPr>
              <w:t>7.5 / 10</w:t>
            </w:r>
          </w:p>
        </w:tc>
      </w:tr>
    </w:tbl>
    <w:p>
      <w:pPr>
        <w:pStyle w:val="Heading2"/>
      </w:pPr>
      <w:r>
        <w:t>Condensed Pros and Cons</w:t>
      </w:r>
    </w:p>
    <w:tbl>
      <w:tblPr>
        <w:tblStyle w:val="TableGrid"/>
        <w:tblW w:type="dxa" w:w="9360"/>
        <w:jc w:val="left"/>
        <w:tblLayout w:type="fixed"/>
        <w:tblLook w:firstColumn="1" w:firstRow="1" w:lastColumn="0" w:lastRow="0" w:noHBand="0" w:noVBand="1" w:val="04A0"/>
        <w:tblInd w:w="120" w:type="dxa"/>
      </w:tblPr>
      <w:tblGrid>
        <w:gridCol w:w="1500"/>
        <w:gridCol w:w="3930"/>
        <w:gridCol w:w="3930"/>
      </w:tblGrid>
      <w:tr>
        <w:tc>
          <w:tcPr>
            <w:tcW w:type="dxa" w:w="1500"/>
            <w:shd w:fill="E8EEF5"/>
            <w:tcMar>
              <w:top w:w="90" w:type="dxa"/>
              <w:start w:w="110" w:type="dxa"/>
              <w:bottom w:w="90" w:type="dxa"/>
              <w:end w:w="110" w:type="dxa"/>
            </w:tcMar>
            <w:vAlign w:val="center"/>
          </w:tcPr>
          <w:p>
            <w:r>
              <w:rPr>
                <w:rFonts w:ascii="Arial" w:hAnsi="Arial"/>
                <w:b/>
                <w:i w:val="0"/>
                <w:color w:val="17324D"/>
                <w:sz w:val="18"/>
              </w:rPr>
              <w:t>Candidate</w:t>
            </w:r>
          </w:p>
        </w:tc>
        <w:tc>
          <w:tcPr>
            <w:tcW w:type="dxa" w:w="3930"/>
            <w:shd w:fill="E8EEF5"/>
            <w:tcMar>
              <w:top w:w="90" w:type="dxa"/>
              <w:start w:w="110" w:type="dxa"/>
              <w:bottom w:w="90" w:type="dxa"/>
              <w:end w:w="110" w:type="dxa"/>
            </w:tcMar>
            <w:vAlign w:val="center"/>
          </w:tcPr>
          <w:p>
            <w:r>
              <w:rPr>
                <w:rFonts w:ascii="Arial" w:hAnsi="Arial"/>
                <w:b/>
                <w:i w:val="0"/>
                <w:color w:val="17324D"/>
                <w:sz w:val="18"/>
              </w:rPr>
              <w:t>Good</w:t>
            </w:r>
          </w:p>
        </w:tc>
        <w:tc>
          <w:tcPr>
            <w:tcW w:type="dxa" w:w="3930"/>
            <w:shd w:fill="E8EEF5"/>
            <w:tcMar>
              <w:top w:w="90" w:type="dxa"/>
              <w:start w:w="110" w:type="dxa"/>
              <w:bottom w:w="90" w:type="dxa"/>
              <w:end w:w="110" w:type="dxa"/>
            </w:tcMar>
            <w:vAlign w:val="center"/>
          </w:tcPr>
          <w:p>
            <w:r>
              <w:rPr>
                <w:rFonts w:ascii="Arial" w:hAnsi="Arial"/>
                <w:b/>
                <w:i w:val="0"/>
                <w:color w:val="17324D"/>
                <w:sz w:val="18"/>
              </w:rPr>
              <w:t>Bad</w:t>
            </w:r>
          </w:p>
        </w:tc>
      </w:tr>
      <w:tr>
        <w:tc>
          <w:tcPr>
            <w:tcW w:type="dxa" w:w="1500"/>
            <w:tcMar>
              <w:top w:w="90" w:type="dxa"/>
              <w:start w:w="110" w:type="dxa"/>
              <w:bottom w:w="90" w:type="dxa"/>
              <w:end w:w="110" w:type="dxa"/>
            </w:tcMar>
            <w:vAlign w:val="center"/>
          </w:tcPr>
          <w:p>
            <w:r>
              <w:rPr>
                <w:rFonts w:ascii="Arial" w:hAnsi="Arial"/>
                <w:b/>
                <w:i w:val="0"/>
                <w:color w:val="17324D"/>
                <w:sz w:val="17"/>
              </w:rPr>
              <w:t>PlenaRoute</w:t>
            </w:r>
          </w:p>
        </w:tc>
        <w:tc>
          <w:tcPr>
            <w:tcW w:type="dxa" w:w="3930"/>
            <w:tcMar>
              <w:top w:w="90" w:type="dxa"/>
              <w:start w:w="110" w:type="dxa"/>
              <w:bottom w:w="90" w:type="dxa"/>
              <w:end w:w="110" w:type="dxa"/>
            </w:tcMar>
            <w:vAlign w:val="center"/>
          </w:tcPr>
          <w:p>
            <w:r>
              <w:rPr>
                <w:rFonts w:ascii="Arial" w:hAnsi="Arial"/>
                <w:b w:val="0"/>
                <w:i w:val="0"/>
                <w:color w:val="111111"/>
                <w:sz w:val="17"/>
              </w:rPr>
              <w:t>Complete, professional, extensible, strong domains, no exact app found.</w:t>
            </w:r>
          </w:p>
        </w:tc>
        <w:tc>
          <w:tcPr>
            <w:tcW w:type="dxa" w:w="3930"/>
            <w:tcMar>
              <w:top w:w="90" w:type="dxa"/>
              <w:start w:w="110" w:type="dxa"/>
              <w:bottom w:w="90" w:type="dxa"/>
              <w:end w:w="110" w:type="dxa"/>
            </w:tcMar>
            <w:vAlign w:val="center"/>
          </w:tcPr>
          <w:p>
            <w:r>
              <w:rPr>
                <w:rFonts w:ascii="Arial" w:hAnsi="Arial"/>
                <w:b w:val="0"/>
                <w:i w:val="0"/>
                <w:color w:val="111111"/>
                <w:sz w:val="17"/>
              </w:rPr>
              <w:t>Requires explanation; pronunciation variants; nearby business software names.</w:t>
            </w:r>
          </w:p>
        </w:tc>
      </w:tr>
      <w:tr>
        <w:tc>
          <w:tcPr>
            <w:tcW w:type="dxa" w:w="1500"/>
            <w:tcMar>
              <w:top w:w="90" w:type="dxa"/>
              <w:start w:w="110" w:type="dxa"/>
              <w:bottom w:w="90" w:type="dxa"/>
              <w:end w:w="110" w:type="dxa"/>
            </w:tcMar>
            <w:vAlign w:val="center"/>
          </w:tcPr>
          <w:p>
            <w:r>
              <w:rPr>
                <w:rFonts w:ascii="Arial" w:hAnsi="Arial"/>
                <w:b/>
                <w:i w:val="0"/>
                <w:color w:val="17324D"/>
                <w:sz w:val="17"/>
              </w:rPr>
              <w:t>TelosRoute</w:t>
            </w:r>
          </w:p>
        </w:tc>
        <w:tc>
          <w:tcPr>
            <w:tcW w:type="dxa" w:w="3930"/>
            <w:tcMar>
              <w:top w:w="90" w:type="dxa"/>
              <w:start w:w="110" w:type="dxa"/>
              <w:bottom w:w="90" w:type="dxa"/>
              <w:end w:w="110" w:type="dxa"/>
            </w:tcMar>
            <w:vAlign w:val="center"/>
          </w:tcPr>
          <w:p>
            <w:r>
              <w:rPr>
                <w:rFonts w:ascii="Arial" w:hAnsi="Arial"/>
                <w:b w:val="0"/>
                <w:i w:val="0"/>
                <w:color w:val="111111"/>
                <w:sz w:val="17"/>
              </w:rPr>
              <w:t>Purposeful, intelligent, exact phrase appears open, excellent domain footprint.</w:t>
            </w:r>
          </w:p>
        </w:tc>
        <w:tc>
          <w:tcPr>
            <w:tcW w:type="dxa" w:w="3930"/>
            <w:tcMar>
              <w:top w:w="90" w:type="dxa"/>
              <w:start w:w="110" w:type="dxa"/>
              <w:bottom w:w="90" w:type="dxa"/>
              <w:end w:w="110" w:type="dxa"/>
            </w:tcMar>
            <w:vAlign w:val="center"/>
          </w:tcPr>
          <w:p>
            <w:r>
              <w:rPr>
                <w:rFonts w:ascii="Arial" w:hAnsi="Arial"/>
                <w:b w:val="0"/>
                <w:i w:val="0"/>
                <w:color w:val="111111"/>
                <w:sz w:val="17"/>
              </w:rPr>
              <w:t>Telos is heavily used; pronunciation varies; meaning is unfamiliar.</w:t>
            </w:r>
          </w:p>
        </w:tc>
      </w:tr>
      <w:tr>
        <w:tc>
          <w:tcPr>
            <w:tcW w:type="dxa" w:w="1500"/>
            <w:tcMar>
              <w:top w:w="90" w:type="dxa"/>
              <w:start w:w="110" w:type="dxa"/>
              <w:bottom w:w="90" w:type="dxa"/>
              <w:end w:w="110" w:type="dxa"/>
            </w:tcMar>
            <w:vAlign w:val="center"/>
          </w:tcPr>
          <w:p>
            <w:r>
              <w:rPr>
                <w:rFonts w:ascii="Arial" w:hAnsi="Arial"/>
                <w:b/>
                <w:i w:val="0"/>
                <w:color w:val="17324D"/>
                <w:sz w:val="17"/>
              </w:rPr>
              <w:t>MAVRUTE</w:t>
            </w:r>
          </w:p>
        </w:tc>
        <w:tc>
          <w:tcPr>
            <w:tcW w:type="dxa" w:w="3930"/>
            <w:tcMar>
              <w:top w:w="90" w:type="dxa"/>
              <w:start w:w="110" w:type="dxa"/>
              <w:bottom w:w="90" w:type="dxa"/>
              <w:end w:w="110" w:type="dxa"/>
            </w:tcMar>
            <w:vAlign w:val="center"/>
          </w:tcPr>
          <w:p>
            <w:r>
              <w:rPr>
                <w:rFonts w:ascii="Arial" w:hAnsi="Arial"/>
                <w:b w:val="0"/>
                <w:i w:val="0"/>
                <w:color w:val="111111"/>
                <w:sz w:val="17"/>
              </w:rPr>
              <w:t>Short, memorable, rugged, highly visual, commercially energetic.</w:t>
            </w:r>
          </w:p>
        </w:tc>
        <w:tc>
          <w:tcPr>
            <w:tcW w:type="dxa" w:w="3930"/>
            <w:tcMar>
              <w:top w:w="90" w:type="dxa"/>
              <w:start w:w="110" w:type="dxa"/>
              <w:bottom w:w="90" w:type="dxa"/>
              <w:end w:w="110" w:type="dxa"/>
            </w:tcMar>
            <w:vAlign w:val="center"/>
          </w:tcPr>
          <w:p>
            <w:r>
              <w:rPr>
                <w:rFonts w:ascii="Arial" w:hAnsi="Arial"/>
                <w:b w:val="0"/>
                <w:i w:val="0"/>
                <w:color w:val="111111"/>
                <w:sz w:val="17"/>
              </w:rPr>
              <w:t>MavenRoute proximity; spelling/search corrections; unclear standalone meaning.</w:t>
            </w:r>
          </w:p>
        </w:tc>
      </w:tr>
      <w:tr>
        <w:tc>
          <w:tcPr>
            <w:tcW w:type="dxa" w:w="1500"/>
            <w:tcMar>
              <w:top w:w="90" w:type="dxa"/>
              <w:start w:w="110" w:type="dxa"/>
              <w:bottom w:w="90" w:type="dxa"/>
              <w:end w:w="110" w:type="dxa"/>
            </w:tcMar>
            <w:vAlign w:val="center"/>
          </w:tcPr>
          <w:p>
            <w:r>
              <w:rPr>
                <w:rFonts w:ascii="Arial" w:hAnsi="Arial"/>
                <w:b/>
                <w:i w:val="0"/>
                <w:color w:val="17324D"/>
                <w:sz w:val="17"/>
              </w:rPr>
              <w:t>RouteStride</w:t>
            </w:r>
          </w:p>
        </w:tc>
        <w:tc>
          <w:tcPr>
            <w:tcW w:type="dxa" w:w="3930"/>
            <w:tcMar>
              <w:top w:w="90" w:type="dxa"/>
              <w:start w:w="110" w:type="dxa"/>
              <w:bottom w:w="90" w:type="dxa"/>
              <w:end w:w="110" w:type="dxa"/>
            </w:tcMar>
            <w:vAlign w:val="center"/>
          </w:tcPr>
          <w:p>
            <w:r>
              <w:rPr>
                <w:rFonts w:ascii="Arial" w:hAnsi="Arial"/>
                <w:b w:val="0"/>
                <w:i w:val="0"/>
                <w:color w:val="111111"/>
                <w:sz w:val="17"/>
              </w:rPr>
              <w:t>Clear, positive, easy to say, directly relevant to field operations.</w:t>
            </w:r>
          </w:p>
        </w:tc>
        <w:tc>
          <w:tcPr>
            <w:tcW w:type="dxa" w:w="3930"/>
            <w:tcMar>
              <w:top w:w="90" w:type="dxa"/>
              <w:start w:w="110" w:type="dxa"/>
              <w:bottom w:w="90" w:type="dxa"/>
              <w:end w:w="110" w:type="dxa"/>
            </w:tcMar>
            <w:vAlign w:val="center"/>
          </w:tcPr>
          <w:p>
            <w:r>
              <w:rPr>
                <w:rFonts w:ascii="Arial" w:hAnsi="Arial"/>
                <w:b w:val="0"/>
                <w:i w:val="0"/>
                <w:color w:val="111111"/>
                <w:sz w:val="17"/>
              </w:rPr>
              <w:t>More descriptive; may constrain perception; weaker exclusive search identity.</w:t>
            </w:r>
          </w:p>
        </w:tc>
      </w:tr>
    </w:tbl>
    <w:p>
      <w:r>
        <w:br w:type="page"/>
      </w:r>
    </w:p>
    <w:p>
      <w:pPr>
        <w:spacing w:before="160" w:after="20"/>
      </w:pPr>
      <w:r>
        <w:rPr>
          <w:rFonts w:ascii="Arial" w:hAnsi="Arial"/>
          <w:b/>
          <w:i w:val="0"/>
          <w:color w:val="2E74B5"/>
          <w:sz w:val="19"/>
        </w:rPr>
        <w:t>CURRENT RANK #2</w:t>
      </w:r>
    </w:p>
    <w:p>
      <w:pPr>
        <w:spacing w:after="60"/>
      </w:pPr>
      <w:r>
        <w:rPr>
          <w:rFonts w:ascii="Arial" w:hAnsi="Arial"/>
          <w:b/>
          <w:i w:val="0"/>
          <w:color w:val="17324D"/>
          <w:sz w:val="52"/>
        </w:rPr>
        <w:t>PlenaRoute</w:t>
      </w:r>
    </w:p>
    <w:p>
      <w:pPr>
        <w:spacing w:after="200"/>
      </w:pPr>
      <w:r>
        <w:rPr>
          <w:rFonts w:ascii="Arial" w:hAnsi="Arial"/>
          <w:b w:val="0"/>
          <w:i/>
          <w:color w:val="1F4D78"/>
          <w:sz w:val="24"/>
        </w:rPr>
        <w:t>The complete route from opportunity to finished work</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FFF4D6"/>
          </w:tcPr>
          <w:p>
            <w:pPr>
              <w:spacing w:after="0"/>
            </w:pPr>
            <w:r>
              <w:rPr>
                <w:rFonts w:ascii="Arial" w:hAnsi="Arial"/>
                <w:b/>
                <w:i w:val="0"/>
                <w:color w:val="7A5A00"/>
                <w:sz w:val="21"/>
              </w:rPr>
              <w:t xml:space="preserve">ADVANCE — ATTORNEY REVIEW REQUIRED  </w:t>
            </w:r>
            <w:r>
              <w:rPr>
                <w:rFonts w:ascii="Arial" w:hAnsi="Arial"/>
                <w:b w:val="0"/>
                <w:i w:val="0"/>
                <w:color w:val="111111"/>
                <w:sz w:val="21"/>
              </w:rPr>
              <w:t>Best current balance, but the Plena / Plenar / Plenary software family must be assessed professionally.</w:t>
            </w:r>
          </w:p>
        </w:tc>
      </w:tr>
    </w:tbl>
    <w:p>
      <w:pPr>
        <w:spacing w:after="40"/>
      </w:pPr>
    </w:p>
    <w:p>
      <w:pPr>
        <w:pStyle w:val="BriefLabel"/>
      </w:pPr>
      <w:r>
        <w:t>Meaning and brand story</w:t>
      </w:r>
    </w:p>
    <w:p>
      <w:pPr>
        <w:spacing w:after="140"/>
      </w:pPr>
      <w:r>
        <w:t>Plena derives from a root associated with fullness or completeness. Combined with Route, the name can represent PFSS managing the full business journey from lead through scheduling, field work, invoicing, and payment.</w:t>
      </w:r>
    </w:p>
    <w:p>
      <w:pPr>
        <w:pStyle w:val="Heading2"/>
      </w:pPr>
      <w:r>
        <w:t>Advantages</w:t>
      </w:r>
    </w:p>
    <w:p>
      <w:pPr>
        <w:spacing w:after="100"/>
        <w:ind w:left="173"/>
      </w:pPr>
      <w:r>
        <w:rPr>
          <w:rFonts w:ascii="Arial" w:hAnsi="Arial"/>
          <w:b/>
          <w:i w:val="0"/>
          <w:color w:val="276738"/>
          <w:sz w:val="20"/>
        </w:rPr>
        <w:t xml:space="preserve">+ Complete product story. </w:t>
      </w:r>
      <w:r>
        <w:rPr>
          <w:rFonts w:ascii="Arial" w:hAnsi="Arial"/>
          <w:b w:val="0"/>
          <w:i w:val="0"/>
          <w:color w:val="111111"/>
          <w:sz w:val="20"/>
        </w:rPr>
        <w:t>It supports the entire operating lifecycle rather than only navigation.</w:t>
      </w:r>
    </w:p>
    <w:p>
      <w:pPr>
        <w:spacing w:after="100"/>
        <w:ind w:left="173"/>
      </w:pPr>
      <w:r>
        <w:rPr>
          <w:rFonts w:ascii="Arial" w:hAnsi="Arial"/>
          <w:b/>
          <w:i w:val="0"/>
          <w:color w:val="276738"/>
          <w:sz w:val="20"/>
        </w:rPr>
        <w:t xml:space="preserve">+ Strong exact-name footprint. </w:t>
      </w:r>
      <w:r>
        <w:rPr>
          <w:rFonts w:ascii="Arial" w:hAnsi="Arial"/>
          <w:b w:val="0"/>
          <w:i w:val="0"/>
          <w:color w:val="111111"/>
          <w:sz w:val="20"/>
        </w:rPr>
        <w:t>No exact PlenaRoute application, software company, or indexed trademark surfaced in the preliminary search.</w:t>
      </w:r>
    </w:p>
    <w:p>
      <w:pPr>
        <w:spacing w:after="100"/>
        <w:ind w:left="173"/>
      </w:pPr>
      <w:r>
        <w:rPr>
          <w:rFonts w:ascii="Arial" w:hAnsi="Arial"/>
          <w:b/>
          <w:i w:val="0"/>
          <w:color w:val="276738"/>
          <w:sz w:val="20"/>
        </w:rPr>
        <w:t xml:space="preserve">+ Excellent preliminary domains. </w:t>
      </w:r>
      <w:r>
        <w:rPr>
          <w:rFonts w:ascii="Arial" w:hAnsi="Arial"/>
          <w:b w:val="0"/>
          <w:i w:val="0"/>
          <w:color w:val="111111"/>
          <w:sz w:val="20"/>
        </w:rPr>
        <w:t>Plenaroute.com, .app, .io, and getplenaroute.com appeared unregistered when checked.</w:t>
      </w:r>
    </w:p>
    <w:p>
      <w:pPr>
        <w:spacing w:after="100"/>
        <w:ind w:left="173"/>
      </w:pPr>
      <w:r>
        <w:rPr>
          <w:rFonts w:ascii="Arial" w:hAnsi="Arial"/>
          <w:b/>
          <w:i w:val="0"/>
          <w:color w:val="276738"/>
          <w:sz w:val="20"/>
        </w:rPr>
        <w:t xml:space="preserve">+ Expandable identity. </w:t>
      </w:r>
      <w:r>
        <w:rPr>
          <w:rFonts w:ascii="Arial" w:hAnsi="Arial"/>
          <w:b w:val="0"/>
          <w:i w:val="0"/>
          <w:color w:val="111111"/>
          <w:sz w:val="20"/>
        </w:rPr>
        <w:t>The name can credibly cover dispatch, CRM, payments, workforce tools, and reporting.</w:t>
      </w:r>
    </w:p>
    <w:p>
      <w:pPr>
        <w:pStyle w:val="Heading2"/>
      </w:pPr>
      <w:r>
        <w:t>Risks</w:t>
      </w:r>
    </w:p>
    <w:p>
      <w:pPr>
        <w:spacing w:after="100"/>
        <w:ind w:left="173"/>
      </w:pPr>
      <w:r>
        <w:rPr>
          <w:rFonts w:ascii="Arial" w:hAnsi="Arial"/>
          <w:b/>
          <w:i w:val="0"/>
          <w:color w:val="9B1C1C"/>
          <w:sz w:val="20"/>
        </w:rPr>
        <w:t xml:space="preserve">– Crowded root family. </w:t>
      </w:r>
      <w:r>
        <w:rPr>
          <w:rFonts w:ascii="Arial" w:hAnsi="Arial"/>
          <w:b w:val="0"/>
          <w:i w:val="0"/>
          <w:color w:val="111111"/>
          <w:sz w:val="20"/>
        </w:rPr>
        <w:t>Plenary is an active employee communications platform; Plenar is a planning engine; Plena is used by existing apps and business software.</w:t>
      </w:r>
    </w:p>
    <w:p>
      <w:pPr>
        <w:spacing w:after="100"/>
        <w:ind w:left="173"/>
      </w:pPr>
      <w:r>
        <w:rPr>
          <w:rFonts w:ascii="Arial" w:hAnsi="Arial"/>
          <w:b/>
          <w:i w:val="0"/>
          <w:color w:val="9B1C1C"/>
          <w:sz w:val="20"/>
        </w:rPr>
        <w:t xml:space="preserve">– Verbal ambiguity. </w:t>
      </w:r>
      <w:r>
        <w:rPr>
          <w:rFonts w:ascii="Arial" w:hAnsi="Arial"/>
          <w:b w:val="0"/>
          <w:i w:val="0"/>
          <w:color w:val="111111"/>
          <w:sz w:val="20"/>
        </w:rPr>
        <w:t>Customers may hear Plenary Route, Plan-a-Route, or Plenar Route.</w:t>
      </w:r>
    </w:p>
    <w:p>
      <w:pPr>
        <w:spacing w:after="100"/>
        <w:ind w:left="173"/>
      </w:pPr>
      <w:r>
        <w:rPr>
          <w:rFonts w:ascii="Arial" w:hAnsi="Arial"/>
          <w:b/>
          <w:i w:val="0"/>
          <w:color w:val="9B1C1C"/>
          <w:sz w:val="20"/>
        </w:rPr>
        <w:t xml:space="preserve">– Meaning requires introduction. </w:t>
      </w:r>
      <w:r>
        <w:rPr>
          <w:rFonts w:ascii="Arial" w:hAnsi="Arial"/>
          <w:b w:val="0"/>
          <w:i w:val="0"/>
          <w:color w:val="111111"/>
          <w:sz w:val="20"/>
        </w:rPr>
        <w:t>Most customers will not immediately understand the “complete” root without supporting messaging.</w:t>
      </w:r>
    </w:p>
    <w:p>
      <w:pPr>
        <w:pStyle w:val="BriefLabel"/>
      </w:pPr>
      <w:r>
        <w:t>Best working tagline</w:t>
      </w:r>
    </w:p>
    <w:p>
      <w:pPr>
        <w:spacing w:after="140"/>
      </w:pPr>
      <w:r>
        <w:t>PlenaRoute — The Complete Route to Done</w:t>
      </w:r>
    </w:p>
    <w:p>
      <w:pPr>
        <w:pStyle w:val="Heading2"/>
      </w:pPr>
      <w:r>
        <w:t>Working scorecard</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Meaning &amp; fit</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Memorability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Availability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Overall</w:t>
            </w:r>
          </w:p>
        </w:tc>
      </w:tr>
      <w:tr>
        <w:tc>
          <w:tcPr>
            <w:tcW w:type="dxa" w:w="2340"/>
            <w:tcMar>
              <w:top w:w="90" w:type="dxa"/>
              <w:start w:w="110" w:type="dxa"/>
              <w:bottom w:w="90" w:type="dxa"/>
              <w:end w:w="110" w:type="dxa"/>
            </w:tcMar>
            <w:vAlign w:val="center"/>
          </w:tcPr>
          <w:p>
            <w:pPr>
              <w:jc w:val="center"/>
            </w:pPr>
            <w:r>
              <w:rPr>
                <w:rFonts w:ascii="Arial" w:hAnsi="Arial"/>
                <w:b w:val="0"/>
                <w:i w:val="0"/>
                <w:color w:val="111111"/>
                <w:sz w:val="21"/>
              </w:rPr>
              <w:t>9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7.5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6 / 10</w:t>
            </w:r>
          </w:p>
        </w:tc>
        <w:tc>
          <w:tcPr>
            <w:tcW w:type="dxa" w:w="2340"/>
            <w:tcMar>
              <w:top w:w="90" w:type="dxa"/>
              <w:start w:w="110" w:type="dxa"/>
              <w:bottom w:w="90" w:type="dxa"/>
              <w:end w:w="110" w:type="dxa"/>
            </w:tcMar>
            <w:vAlign w:val="center"/>
          </w:tcPr>
          <w:p>
            <w:pPr>
              <w:jc w:val="center"/>
            </w:pPr>
            <w:r>
              <w:rPr>
                <w:rFonts w:ascii="Arial" w:hAnsi="Arial"/>
                <w:b/>
                <w:i w:val="0"/>
                <w:color w:val="17324D"/>
                <w:sz w:val="21"/>
              </w:rPr>
              <w:t>8.0 / 10</w:t>
            </w:r>
          </w:p>
        </w:tc>
      </w:tr>
    </w:tbl>
    <w:p>
      <w:r>
        <w:br w:type="page"/>
      </w:r>
    </w:p>
    <w:p>
      <w:pPr>
        <w:spacing w:before="160" w:after="20"/>
      </w:pPr>
      <w:r>
        <w:rPr>
          <w:rFonts w:ascii="Arial" w:hAnsi="Arial"/>
          <w:b/>
          <w:i w:val="0"/>
          <w:color w:val="2E74B5"/>
          <w:sz w:val="19"/>
        </w:rPr>
        <w:t>CURRENT RANK #3</w:t>
      </w:r>
    </w:p>
    <w:p>
      <w:pPr>
        <w:spacing w:after="60"/>
      </w:pPr>
      <w:r>
        <w:rPr>
          <w:rFonts w:ascii="Arial" w:hAnsi="Arial"/>
          <w:b/>
          <w:i w:val="0"/>
          <w:color w:val="17324D"/>
          <w:sz w:val="52"/>
        </w:rPr>
        <w:t>TelosRoute</w:t>
      </w:r>
    </w:p>
    <w:p>
      <w:pPr>
        <w:spacing w:after="200"/>
      </w:pPr>
      <w:r>
        <w:rPr>
          <w:rFonts w:ascii="Arial" w:hAnsi="Arial"/>
          <w:b w:val="0"/>
          <w:i/>
          <w:color w:val="1F4D78"/>
          <w:sz w:val="24"/>
        </w:rPr>
        <w:t>The route to the intended result</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FFF4D6"/>
          </w:tcPr>
          <w:p>
            <w:pPr>
              <w:spacing w:after="0"/>
            </w:pPr>
            <w:r>
              <w:rPr>
                <w:rFonts w:ascii="Arial" w:hAnsi="Arial"/>
                <w:b/>
                <w:i w:val="0"/>
                <w:color w:val="7A5A00"/>
                <w:sz w:val="21"/>
              </w:rPr>
              <w:t xml:space="preserve">ADVANCE — ATTORNEY REVIEW REQUIRED  </w:t>
            </w:r>
            <w:r>
              <w:rPr>
                <w:rFonts w:ascii="Arial" w:hAnsi="Arial"/>
                <w:b w:val="0"/>
                <w:i w:val="0"/>
                <w:color w:val="111111"/>
                <w:sz w:val="21"/>
              </w:rPr>
              <w:t>The exact compound is promising, but TELOS is extensively used in software and technology.</w:t>
            </w:r>
          </w:p>
        </w:tc>
      </w:tr>
    </w:tbl>
    <w:p>
      <w:pPr>
        <w:spacing w:after="40"/>
      </w:pPr>
    </w:p>
    <w:p>
      <w:pPr>
        <w:pStyle w:val="BriefLabel"/>
      </w:pPr>
      <w:r>
        <w:t>Meaning and brand story</w:t>
      </w:r>
    </w:p>
    <w:p>
      <w:pPr>
        <w:spacing w:after="140"/>
      </w:pPr>
      <w:r>
        <w:t>Telos is a Greek philosophical term for purpose, intended outcome, or ultimate end. TelosRoute therefore suggests guiding every job toward its intended result and completing work with direction.</w:t>
      </w:r>
    </w:p>
    <w:p>
      <w:pPr>
        <w:pStyle w:val="Heading2"/>
      </w:pPr>
      <w:r>
        <w:t>Advantages</w:t>
      </w:r>
    </w:p>
    <w:p>
      <w:pPr>
        <w:spacing w:after="100"/>
        <w:ind w:left="173"/>
      </w:pPr>
      <w:r>
        <w:rPr>
          <w:rFonts w:ascii="Arial" w:hAnsi="Arial"/>
          <w:b/>
          <w:i w:val="0"/>
          <w:color w:val="276738"/>
          <w:sz w:val="20"/>
        </w:rPr>
        <w:t xml:space="preserve">+ Purposeful narrative. </w:t>
      </w:r>
      <w:r>
        <w:rPr>
          <w:rFonts w:ascii="Arial" w:hAnsi="Arial"/>
          <w:b w:val="0"/>
          <w:i w:val="0"/>
          <w:color w:val="111111"/>
          <w:sz w:val="20"/>
        </w:rPr>
        <w:t>The name carries a deeper idea than ordinary navigation or scheduling terminology.</w:t>
      </w:r>
    </w:p>
    <w:p>
      <w:pPr>
        <w:spacing w:after="100"/>
        <w:ind w:left="173"/>
      </w:pPr>
      <w:r>
        <w:rPr>
          <w:rFonts w:ascii="Arial" w:hAnsi="Arial"/>
          <w:b/>
          <w:i w:val="0"/>
          <w:color w:val="276738"/>
          <w:sz w:val="20"/>
        </w:rPr>
        <w:t xml:space="preserve">+ Clean exact-name research. </w:t>
      </w:r>
      <w:r>
        <w:rPr>
          <w:rFonts w:ascii="Arial" w:hAnsi="Arial"/>
          <w:b w:val="0"/>
          <w:i w:val="0"/>
          <w:color w:val="111111"/>
          <w:sz w:val="20"/>
        </w:rPr>
        <w:t>No exact TelosRoute app, software company, or indexed trademark surfaced in preliminary research.</w:t>
      </w:r>
    </w:p>
    <w:p>
      <w:pPr>
        <w:spacing w:after="100"/>
        <w:ind w:left="173"/>
      </w:pPr>
      <w:r>
        <w:rPr>
          <w:rFonts w:ascii="Arial" w:hAnsi="Arial"/>
          <w:b/>
          <w:i w:val="0"/>
          <w:color w:val="276738"/>
          <w:sz w:val="20"/>
        </w:rPr>
        <w:t xml:space="preserve">+ Excellent preliminary domains. </w:t>
      </w:r>
      <w:r>
        <w:rPr>
          <w:rFonts w:ascii="Arial" w:hAnsi="Arial"/>
          <w:b w:val="0"/>
          <w:i w:val="0"/>
          <w:color w:val="111111"/>
          <w:sz w:val="20"/>
        </w:rPr>
        <w:t>Telosroute.com, .app, .io, and gettelosroute.com appeared unregistered when checked.</w:t>
      </w:r>
    </w:p>
    <w:p>
      <w:pPr>
        <w:spacing w:after="100"/>
        <w:ind w:left="173"/>
      </w:pPr>
      <w:r>
        <w:rPr>
          <w:rFonts w:ascii="Arial" w:hAnsi="Arial"/>
          <w:b/>
          <w:i w:val="0"/>
          <w:color w:val="276738"/>
          <w:sz w:val="20"/>
        </w:rPr>
        <w:t xml:space="preserve">+ Enterprise credibility. </w:t>
      </w:r>
      <w:r>
        <w:rPr>
          <w:rFonts w:ascii="Arial" w:hAnsi="Arial"/>
          <w:b w:val="0"/>
          <w:i w:val="0"/>
          <w:color w:val="111111"/>
          <w:sz w:val="20"/>
        </w:rPr>
        <w:t>The name feels intelligent, strategic, and suitable for a scalable business platform.</w:t>
      </w:r>
    </w:p>
    <w:p>
      <w:pPr>
        <w:pStyle w:val="Heading2"/>
      </w:pPr>
      <w:r>
        <w:t>Risks</w:t>
      </w:r>
    </w:p>
    <w:p>
      <w:pPr>
        <w:spacing w:after="100"/>
        <w:ind w:left="173"/>
      </w:pPr>
      <w:r>
        <w:rPr>
          <w:rFonts w:ascii="Arial" w:hAnsi="Arial"/>
          <w:b/>
          <w:i w:val="0"/>
          <w:color w:val="9B1C1C"/>
          <w:sz w:val="20"/>
        </w:rPr>
        <w:t xml:space="preserve">– Crowded TELOS landscape. </w:t>
      </w:r>
      <w:r>
        <w:rPr>
          <w:rFonts w:ascii="Arial" w:hAnsi="Arial"/>
          <w:b w:val="0"/>
          <w:i w:val="0"/>
          <w:color w:val="111111"/>
          <w:sz w:val="20"/>
        </w:rPr>
        <w:t>TELOS is registered and used by multiple technology, cybersecurity, business software, and field-operations companies.</w:t>
      </w:r>
    </w:p>
    <w:p>
      <w:pPr>
        <w:spacing w:after="100"/>
        <w:ind w:left="173"/>
      </w:pPr>
      <w:r>
        <w:rPr>
          <w:rFonts w:ascii="Arial" w:hAnsi="Arial"/>
          <w:b/>
          <w:i w:val="0"/>
          <w:color w:val="9B1C1C"/>
          <w:sz w:val="20"/>
        </w:rPr>
        <w:t xml:space="preserve">– Pronunciation variation. </w:t>
      </w:r>
      <w:r>
        <w:rPr>
          <w:rFonts w:ascii="Arial" w:hAnsi="Arial"/>
          <w:b w:val="0"/>
          <w:i w:val="0"/>
          <w:color w:val="111111"/>
          <w:sz w:val="20"/>
        </w:rPr>
        <w:t>Customers may say TEE-loss, TELL-oss, or TEH-loss; “route” also varies regionally.</w:t>
      </w:r>
    </w:p>
    <w:p>
      <w:pPr>
        <w:spacing w:after="100"/>
        <w:ind w:left="173"/>
      </w:pPr>
      <w:r>
        <w:rPr>
          <w:rFonts w:ascii="Arial" w:hAnsi="Arial"/>
          <w:b/>
          <w:i w:val="0"/>
          <w:color w:val="9B1C1C"/>
          <w:sz w:val="20"/>
        </w:rPr>
        <w:t xml:space="preserve">– Abstract meaning. </w:t>
      </w:r>
      <w:r>
        <w:rPr>
          <w:rFonts w:ascii="Arial" w:hAnsi="Arial"/>
          <w:b w:val="0"/>
          <w:i w:val="0"/>
          <w:color w:val="111111"/>
          <w:sz w:val="20"/>
        </w:rPr>
        <w:t>The philosophical reference will be unknown to many small-business customers.</w:t>
      </w:r>
    </w:p>
    <w:p>
      <w:pPr>
        <w:pStyle w:val="BriefLabel"/>
      </w:pPr>
      <w:r>
        <w:t>Best working tagline</w:t>
      </w:r>
    </w:p>
    <w:p>
      <w:pPr>
        <w:spacing w:after="140"/>
      </w:pPr>
      <w:r>
        <w:t>TelosRoute — Every Job to Completion</w:t>
      </w:r>
    </w:p>
    <w:p>
      <w:pPr>
        <w:pStyle w:val="Heading2"/>
      </w:pPr>
      <w:r>
        <w:t>Working scorecard</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Meaning &amp; fit</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Memorability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Availability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Overall</w:t>
            </w:r>
          </w:p>
        </w:tc>
      </w:tr>
      <w:tr>
        <w:tc>
          <w:tcPr>
            <w:tcW w:type="dxa" w:w="2340"/>
            <w:tcMar>
              <w:top w:w="90" w:type="dxa"/>
              <w:start w:w="110" w:type="dxa"/>
              <w:bottom w:w="90" w:type="dxa"/>
              <w:end w:w="110" w:type="dxa"/>
            </w:tcMar>
            <w:vAlign w:val="center"/>
          </w:tcPr>
          <w:p>
            <w:pPr>
              <w:jc w:val="center"/>
            </w:pPr>
            <w:r>
              <w:rPr>
                <w:rFonts w:ascii="Arial" w:hAnsi="Arial"/>
                <w:b w:val="0"/>
                <w:i w:val="0"/>
                <w:color w:val="111111"/>
                <w:sz w:val="21"/>
              </w:rPr>
              <w:t>8.5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7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6 / 10</w:t>
            </w:r>
          </w:p>
        </w:tc>
        <w:tc>
          <w:tcPr>
            <w:tcW w:type="dxa" w:w="2340"/>
            <w:tcMar>
              <w:top w:w="90" w:type="dxa"/>
              <w:start w:w="110" w:type="dxa"/>
              <w:bottom w:w="90" w:type="dxa"/>
              <w:end w:w="110" w:type="dxa"/>
            </w:tcMar>
            <w:vAlign w:val="center"/>
          </w:tcPr>
          <w:p>
            <w:pPr>
              <w:jc w:val="center"/>
            </w:pPr>
            <w:r>
              <w:rPr>
                <w:rFonts w:ascii="Arial" w:hAnsi="Arial"/>
                <w:b/>
                <w:i w:val="0"/>
                <w:color w:val="17324D"/>
                <w:sz w:val="21"/>
              </w:rPr>
              <w:t>7.5 / 10</w:t>
            </w:r>
          </w:p>
        </w:tc>
      </w:tr>
    </w:tbl>
    <w:p>
      <w:r>
        <w:br w:type="page"/>
      </w:r>
    </w:p>
    <w:p>
      <w:pPr>
        <w:spacing w:before="160" w:after="20"/>
      </w:pPr>
      <w:r>
        <w:rPr>
          <w:rFonts w:ascii="Arial" w:hAnsi="Arial"/>
          <w:b/>
          <w:i w:val="0"/>
          <w:color w:val="2E74B5"/>
          <w:sz w:val="19"/>
        </w:rPr>
        <w:t>CURRENT RANK #4</w:t>
      </w:r>
    </w:p>
    <w:p>
      <w:pPr>
        <w:spacing w:after="60"/>
      </w:pPr>
      <w:r>
        <w:rPr>
          <w:rFonts w:ascii="Arial" w:hAnsi="Arial"/>
          <w:b/>
          <w:i w:val="0"/>
          <w:color w:val="17324D"/>
          <w:sz w:val="52"/>
        </w:rPr>
        <w:t>MAVRUTE</w:t>
      </w:r>
    </w:p>
    <w:p>
      <w:pPr>
        <w:spacing w:after="200"/>
      </w:pPr>
      <w:r>
        <w:rPr>
          <w:rFonts w:ascii="Arial" w:hAnsi="Arial"/>
          <w:b w:val="0"/>
          <w:i/>
          <w:color w:val="1F4D78"/>
          <w:sz w:val="24"/>
        </w:rPr>
        <w:t>A compact invented identity suggesting expertise and route</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FCECEC"/>
          </w:tcPr>
          <w:p>
            <w:pPr>
              <w:spacing w:after="0"/>
            </w:pPr>
            <w:r>
              <w:rPr>
                <w:rFonts w:ascii="Arial" w:hAnsi="Arial"/>
                <w:b/>
                <w:i w:val="0"/>
                <w:color w:val="9B1C1C"/>
                <w:sz w:val="21"/>
              </w:rPr>
              <w:t xml:space="preserve">HOLD — ELEVATED SIMILARITY RISK  </w:t>
            </w:r>
            <w:r>
              <w:rPr>
                <w:rFonts w:ascii="Arial" w:hAnsi="Arial"/>
                <w:b w:val="0"/>
                <w:i w:val="0"/>
                <w:color w:val="111111"/>
                <w:sz w:val="21"/>
              </w:rPr>
              <w:t>Strong creative potential, but MavenRoute is an active routing and mission-planning software ecosystem.</w:t>
            </w:r>
          </w:p>
        </w:tc>
      </w:tr>
    </w:tbl>
    <w:p>
      <w:pPr>
        <w:spacing w:after="40"/>
      </w:pPr>
    </w:p>
    <w:p>
      <w:pPr>
        <w:pStyle w:val="BriefLabel"/>
      </w:pPr>
      <w:r>
        <w:t>Meaning and brand story</w:t>
      </w:r>
    </w:p>
    <w:p>
      <w:pPr>
        <w:spacing w:after="140"/>
      </w:pPr>
      <w:r>
        <w:t>MAVRUTE can be positioned as a fusion of maven—an expert—and route. It conveys an expert path through field operations while remaining short and visually distinctive.</w:t>
      </w:r>
    </w:p>
    <w:p>
      <w:pPr>
        <w:pStyle w:val="Heading2"/>
      </w:pPr>
      <w:r>
        <w:t>Advantages</w:t>
      </w:r>
    </w:p>
    <w:p>
      <w:pPr>
        <w:spacing w:after="100"/>
        <w:ind w:left="173"/>
      </w:pPr>
      <w:r>
        <w:rPr>
          <w:rFonts w:ascii="Arial" w:hAnsi="Arial"/>
          <w:b/>
          <w:i w:val="0"/>
          <w:color w:val="276738"/>
          <w:sz w:val="20"/>
        </w:rPr>
        <w:t xml:space="preserve">+ Strong invented form. </w:t>
      </w:r>
      <w:r>
        <w:rPr>
          <w:rFonts w:ascii="Arial" w:hAnsi="Arial"/>
          <w:b w:val="0"/>
          <w:i w:val="0"/>
          <w:color w:val="111111"/>
          <w:sz w:val="20"/>
        </w:rPr>
        <w:t>It looks like a proprietary technology brand rather than a descriptive product label.</w:t>
      </w:r>
    </w:p>
    <w:p>
      <w:pPr>
        <w:spacing w:after="100"/>
        <w:ind w:left="173"/>
      </w:pPr>
      <w:r>
        <w:rPr>
          <w:rFonts w:ascii="Arial" w:hAnsi="Arial"/>
          <w:b/>
          <w:i w:val="0"/>
          <w:color w:val="276738"/>
          <w:sz w:val="20"/>
        </w:rPr>
        <w:t xml:space="preserve">+ Memorable visual structure. </w:t>
      </w:r>
      <w:r>
        <w:rPr>
          <w:rFonts w:ascii="Arial" w:hAnsi="Arial"/>
          <w:b w:val="0"/>
          <w:i w:val="0"/>
          <w:color w:val="111111"/>
          <w:sz w:val="20"/>
        </w:rPr>
        <w:t>The word is compact, energetic, and suited to a bold app icon and wordmark.</w:t>
      </w:r>
    </w:p>
    <w:p>
      <w:pPr>
        <w:spacing w:after="100"/>
        <w:ind w:left="173"/>
      </w:pPr>
      <w:r>
        <w:rPr>
          <w:rFonts w:ascii="Arial" w:hAnsi="Arial"/>
          <w:b/>
          <w:i w:val="0"/>
          <w:color w:val="276738"/>
          <w:sz w:val="20"/>
        </w:rPr>
        <w:t xml:space="preserve">+ Good preliminary domains. </w:t>
      </w:r>
      <w:r>
        <w:rPr>
          <w:rFonts w:ascii="Arial" w:hAnsi="Arial"/>
          <w:b w:val="0"/>
          <w:i w:val="0"/>
          <w:color w:val="111111"/>
          <w:sz w:val="20"/>
        </w:rPr>
        <w:t>Mavrute.com, .app, .io, and getmavrute.com appeared unregistered when checked.</w:t>
      </w:r>
    </w:p>
    <w:p>
      <w:pPr>
        <w:spacing w:after="100"/>
        <w:ind w:left="173"/>
      </w:pPr>
      <w:r>
        <w:rPr>
          <w:rFonts w:ascii="Arial" w:hAnsi="Arial"/>
          <w:b/>
          <w:i w:val="0"/>
          <w:color w:val="276738"/>
          <w:sz w:val="20"/>
        </w:rPr>
        <w:t xml:space="preserve">+ Broad future use. </w:t>
      </w:r>
      <w:r>
        <w:rPr>
          <w:rFonts w:ascii="Arial" w:hAnsi="Arial"/>
          <w:b w:val="0"/>
          <w:i w:val="0"/>
          <w:color w:val="111111"/>
          <w:sz w:val="20"/>
        </w:rPr>
        <w:t>The name does not explicitly restrict the platform to one trade or one feature.</w:t>
      </w:r>
    </w:p>
    <w:p>
      <w:pPr>
        <w:pStyle w:val="Heading2"/>
      </w:pPr>
      <w:r>
        <w:t>Risks</w:t>
      </w:r>
    </w:p>
    <w:p>
      <w:pPr>
        <w:spacing w:after="100"/>
        <w:ind w:left="173"/>
      </w:pPr>
      <w:r>
        <w:rPr>
          <w:rFonts w:ascii="Arial" w:hAnsi="Arial"/>
          <w:b/>
          <w:i w:val="0"/>
          <w:color w:val="9B1C1C"/>
          <w:sz w:val="20"/>
        </w:rPr>
        <w:t xml:space="preserve">– MavenRoute conflict. </w:t>
      </w:r>
      <w:r>
        <w:rPr>
          <w:rFonts w:ascii="Arial" w:hAnsi="Arial"/>
          <w:b w:val="0"/>
          <w:i w:val="0"/>
          <w:color w:val="111111"/>
          <w:sz w:val="20"/>
        </w:rPr>
        <w:t>MavenRoute is an active web and mobile platform for route planning, visualization, and optimization.</w:t>
      </w:r>
    </w:p>
    <w:p>
      <w:pPr>
        <w:spacing w:after="100"/>
        <w:ind w:left="173"/>
      </w:pPr>
      <w:r>
        <w:rPr>
          <w:rFonts w:ascii="Arial" w:hAnsi="Arial"/>
          <w:b/>
          <w:i w:val="0"/>
          <w:color w:val="9B1C1C"/>
          <w:sz w:val="20"/>
        </w:rPr>
        <w:t xml:space="preserve">– Spoken confusion. </w:t>
      </w:r>
      <w:r>
        <w:rPr>
          <w:rFonts w:ascii="Arial" w:hAnsi="Arial"/>
          <w:b w:val="0"/>
          <w:i w:val="0"/>
          <w:color w:val="111111"/>
          <w:sz w:val="20"/>
        </w:rPr>
        <w:t>MAVRUTE and MavenRoute could be confused when spoken, especially in an app-search context.</w:t>
      </w:r>
    </w:p>
    <w:p>
      <w:pPr>
        <w:spacing w:after="100"/>
        <w:ind w:left="173"/>
      </w:pPr>
      <w:r>
        <w:rPr>
          <w:rFonts w:ascii="Arial" w:hAnsi="Arial"/>
          <w:b/>
          <w:i w:val="0"/>
          <w:color w:val="9B1C1C"/>
          <w:sz w:val="20"/>
        </w:rPr>
        <w:t xml:space="preserve">– Spelling uncertainty. </w:t>
      </w:r>
      <w:r>
        <w:rPr>
          <w:rFonts w:ascii="Arial" w:hAnsi="Arial"/>
          <w:b w:val="0"/>
          <w:i w:val="0"/>
          <w:color w:val="111111"/>
          <w:sz w:val="20"/>
        </w:rPr>
        <w:t>Users may enter MavRoute, Mavrut, MavenRoute, or MavRoot.</w:t>
      </w:r>
    </w:p>
    <w:p>
      <w:pPr>
        <w:spacing w:after="100"/>
        <w:ind w:left="173"/>
      </w:pPr>
      <w:r>
        <w:rPr>
          <w:rFonts w:ascii="Arial" w:hAnsi="Arial"/>
          <w:b/>
          <w:i w:val="0"/>
          <w:color w:val="9B1C1C"/>
          <w:sz w:val="20"/>
        </w:rPr>
        <w:t xml:space="preserve">– Meaning is not self-evident. </w:t>
      </w:r>
      <w:r>
        <w:rPr>
          <w:rFonts w:ascii="Arial" w:hAnsi="Arial"/>
          <w:b w:val="0"/>
          <w:i w:val="0"/>
          <w:color w:val="111111"/>
          <w:sz w:val="20"/>
        </w:rPr>
        <w:t>The intended maven-plus-route construction requires explanation.</w:t>
      </w:r>
    </w:p>
    <w:p>
      <w:pPr>
        <w:pStyle w:val="BriefLabel"/>
      </w:pPr>
      <w:r>
        <w:t>Best working tagline</w:t>
      </w:r>
    </w:p>
    <w:p>
      <w:pPr>
        <w:spacing w:after="140"/>
      </w:pPr>
      <w:r>
        <w:t>MAVRUTE — Expert Direction for Every Job</w:t>
      </w:r>
    </w:p>
    <w:p>
      <w:pPr>
        <w:pStyle w:val="Heading2"/>
      </w:pPr>
      <w:r>
        <w:t>Working scorecard</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Meaning &amp; fit</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Memorability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Availability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Overall</w:t>
            </w:r>
          </w:p>
        </w:tc>
      </w:tr>
      <w:tr>
        <w:tc>
          <w:tcPr>
            <w:tcW w:type="dxa" w:w="2340"/>
            <w:tcMar>
              <w:top w:w="90" w:type="dxa"/>
              <w:start w:w="110" w:type="dxa"/>
              <w:bottom w:w="90" w:type="dxa"/>
              <w:end w:w="110" w:type="dxa"/>
            </w:tcMar>
            <w:vAlign w:val="center"/>
          </w:tcPr>
          <w:p>
            <w:pPr>
              <w:jc w:val="center"/>
            </w:pPr>
            <w:r>
              <w:rPr>
                <w:rFonts w:ascii="Arial" w:hAnsi="Arial"/>
                <w:b w:val="0"/>
                <w:i w:val="0"/>
                <w:color w:val="111111"/>
                <w:sz w:val="21"/>
              </w:rPr>
              <w:t>8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7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5 / 10</w:t>
            </w:r>
          </w:p>
        </w:tc>
        <w:tc>
          <w:tcPr>
            <w:tcW w:type="dxa" w:w="2340"/>
            <w:tcMar>
              <w:top w:w="90" w:type="dxa"/>
              <w:start w:w="110" w:type="dxa"/>
              <w:bottom w:w="90" w:type="dxa"/>
              <w:end w:w="110" w:type="dxa"/>
            </w:tcMar>
            <w:vAlign w:val="center"/>
          </w:tcPr>
          <w:p>
            <w:pPr>
              <w:jc w:val="center"/>
            </w:pPr>
            <w:r>
              <w:rPr>
                <w:rFonts w:ascii="Arial" w:hAnsi="Arial"/>
                <w:b/>
                <w:i w:val="0"/>
                <w:color w:val="17324D"/>
                <w:sz w:val="21"/>
              </w:rPr>
              <w:t>6.5 / 10</w:t>
            </w:r>
          </w:p>
        </w:tc>
      </w:tr>
    </w:tbl>
    <w:p>
      <w:r>
        <w:br w:type="page"/>
      </w:r>
    </w:p>
    <w:p>
      <w:pPr>
        <w:spacing w:before="160" w:after="20"/>
      </w:pPr>
      <w:r>
        <w:rPr>
          <w:rFonts w:ascii="Arial" w:hAnsi="Arial"/>
          <w:b/>
          <w:i w:val="0"/>
          <w:color w:val="2E74B5"/>
          <w:sz w:val="19"/>
        </w:rPr>
        <w:t>CURRENT RANK #5</w:t>
      </w:r>
    </w:p>
    <w:p>
      <w:pPr>
        <w:spacing w:after="60"/>
      </w:pPr>
      <w:r>
        <w:rPr>
          <w:rFonts w:ascii="Arial" w:hAnsi="Arial"/>
          <w:b/>
          <w:i w:val="0"/>
          <w:color w:val="17324D"/>
          <w:sz w:val="52"/>
        </w:rPr>
        <w:t>RouteStride</w:t>
      </w:r>
    </w:p>
    <w:p>
      <w:pPr>
        <w:spacing w:after="200"/>
      </w:pPr>
      <w:r>
        <w:rPr>
          <w:rFonts w:ascii="Arial" w:hAnsi="Arial"/>
          <w:b w:val="0"/>
          <w:i/>
          <w:color w:val="1F4D78"/>
          <w:sz w:val="24"/>
        </w:rPr>
        <w:t>Confident forward movement across field operations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EAF4EC"/>
          </w:tcPr>
          <w:p>
            <w:pPr>
              <w:spacing w:after="0"/>
            </w:pPr>
            <w:r>
              <w:rPr>
                <w:rFonts w:ascii="Arial" w:hAnsi="Arial"/>
                <w:b/>
                <w:i w:val="0"/>
                <w:color w:val="276738"/>
                <w:sz w:val="21"/>
              </w:rPr>
              <w:t xml:space="preserve">ADVANCE — STRONGEST PRELIMINARY POSITION  </w:t>
            </w:r>
            <w:r>
              <w:rPr>
                <w:rFonts w:ascii="Arial" w:hAnsi="Arial"/>
                <w:b w:val="0"/>
                <w:i w:val="0"/>
                <w:color w:val="111111"/>
                <w:sz w:val="21"/>
              </w:rPr>
              <w:t>The most understandable finalist and currently the least concerning preliminary marketplace position.</w:t>
            </w:r>
          </w:p>
        </w:tc>
      </w:tr>
    </w:tbl>
    <w:p>
      <w:pPr>
        <w:spacing w:after="40"/>
      </w:pPr>
    </w:p>
    <w:p>
      <w:pPr>
        <w:pStyle w:val="BriefLabel"/>
      </w:pPr>
      <w:r>
        <w:t>Meaning and brand story</w:t>
      </w:r>
    </w:p>
    <w:p>
      <w:pPr>
        <w:spacing w:after="140"/>
      </w:pPr>
      <w:r>
        <w:t>RouteStride combines operational direction with confident progress. It communicates that teams can move through schedules, assignments, routes, and jobs in a controlled and productive way.</w:t>
      </w:r>
    </w:p>
    <w:p>
      <w:pPr>
        <w:pStyle w:val="Heading2"/>
      </w:pPr>
      <w:r>
        <w:t>Advantages</w:t>
      </w:r>
    </w:p>
    <w:p>
      <w:pPr>
        <w:spacing w:after="100"/>
        <w:ind w:left="173"/>
      </w:pPr>
      <w:r>
        <w:rPr>
          <w:rFonts w:ascii="Arial" w:hAnsi="Arial"/>
          <w:b/>
          <w:i w:val="0"/>
          <w:color w:val="276738"/>
          <w:sz w:val="20"/>
        </w:rPr>
        <w:t xml:space="preserve">+ Immediate comprehension. </w:t>
      </w:r>
      <w:r>
        <w:rPr>
          <w:rFonts w:ascii="Arial" w:hAnsi="Arial"/>
          <w:b w:val="0"/>
          <w:i w:val="0"/>
          <w:color w:val="111111"/>
          <w:sz w:val="20"/>
        </w:rPr>
        <w:t>Customers can pronounce, spell, and broadly understand it without explanation.</w:t>
      </w:r>
    </w:p>
    <w:p>
      <w:pPr>
        <w:spacing w:after="100"/>
        <w:ind w:left="173"/>
      </w:pPr>
      <w:r>
        <w:rPr>
          <w:rFonts w:ascii="Arial" w:hAnsi="Arial"/>
          <w:b/>
          <w:i w:val="0"/>
          <w:color w:val="276738"/>
          <w:sz w:val="20"/>
        </w:rPr>
        <w:t xml:space="preserve">+ Positive emotional tone. </w:t>
      </w:r>
      <w:r>
        <w:rPr>
          <w:rFonts w:ascii="Arial" w:hAnsi="Arial"/>
          <w:b w:val="0"/>
          <w:i w:val="0"/>
          <w:color w:val="111111"/>
          <w:sz w:val="20"/>
        </w:rPr>
        <w:t>Stride suggests momentum, confidence, efficiency, and steady improvement.</w:t>
      </w:r>
    </w:p>
    <w:p>
      <w:pPr>
        <w:spacing w:after="100"/>
        <w:ind w:left="173"/>
      </w:pPr>
      <w:r>
        <w:rPr>
          <w:rFonts w:ascii="Arial" w:hAnsi="Arial"/>
          <w:b/>
          <w:i w:val="0"/>
          <w:color w:val="276738"/>
          <w:sz w:val="20"/>
        </w:rPr>
        <w:t xml:space="preserve">+ Natural industry fit. </w:t>
      </w:r>
      <w:r>
        <w:rPr>
          <w:rFonts w:ascii="Arial" w:hAnsi="Arial"/>
          <w:b w:val="0"/>
          <w:i w:val="0"/>
          <w:color w:val="111111"/>
          <w:sz w:val="20"/>
        </w:rPr>
        <w:t>It feels appropriate for technicians, routes, dispatch, scheduling, and mobile field work.</w:t>
      </w:r>
    </w:p>
    <w:p>
      <w:pPr>
        <w:spacing w:after="100"/>
        <w:ind w:left="173"/>
      </w:pPr>
      <w:r>
        <w:rPr>
          <w:rFonts w:ascii="Arial" w:hAnsi="Arial"/>
          <w:b/>
          <w:i w:val="0"/>
          <w:color w:val="276738"/>
          <w:sz w:val="20"/>
        </w:rPr>
        <w:t xml:space="preserve">+ Lower observed collision risk. </w:t>
      </w:r>
      <w:r>
        <w:rPr>
          <w:rFonts w:ascii="Arial" w:hAnsi="Arial"/>
          <w:b w:val="0"/>
          <w:i w:val="0"/>
          <w:color w:val="111111"/>
          <w:sz w:val="20"/>
        </w:rPr>
        <w:t>Previous preliminary research did not reveal the same level of direct software conflict as the other finalists.</w:t>
      </w:r>
    </w:p>
    <w:p>
      <w:pPr>
        <w:pStyle w:val="Heading2"/>
      </w:pPr>
      <w:r>
        <w:t>Risks</w:t>
      </w:r>
    </w:p>
    <w:p>
      <w:pPr>
        <w:spacing w:after="100"/>
        <w:ind w:left="173"/>
      </w:pPr>
      <w:r>
        <w:rPr>
          <w:rFonts w:ascii="Arial" w:hAnsi="Arial"/>
          <w:b/>
          <w:i w:val="0"/>
          <w:color w:val="9B1C1C"/>
          <w:sz w:val="20"/>
        </w:rPr>
        <w:t xml:space="preserve">– More descriptive. </w:t>
      </w:r>
      <w:r>
        <w:rPr>
          <w:rFonts w:ascii="Arial" w:hAnsi="Arial"/>
          <w:b w:val="0"/>
          <w:i w:val="0"/>
          <w:color w:val="111111"/>
          <w:sz w:val="20"/>
        </w:rPr>
        <w:t>Route and Stride are ordinary English words, which may produce narrower trademark protection.</w:t>
      </w:r>
    </w:p>
    <w:p>
      <w:pPr>
        <w:spacing w:after="100"/>
        <w:ind w:left="173"/>
      </w:pPr>
      <w:r>
        <w:rPr>
          <w:rFonts w:ascii="Arial" w:hAnsi="Arial"/>
          <w:b/>
          <w:i w:val="0"/>
          <w:color w:val="9B1C1C"/>
          <w:sz w:val="20"/>
        </w:rPr>
        <w:t xml:space="preserve">– Routing emphasis. </w:t>
      </w:r>
      <w:r>
        <w:rPr>
          <w:rFonts w:ascii="Arial" w:hAnsi="Arial"/>
          <w:b w:val="0"/>
          <w:i w:val="0"/>
          <w:color w:val="111111"/>
          <w:sz w:val="20"/>
        </w:rPr>
        <w:t>The name may lead customers to underestimate PFSS features such as CRM, invoicing, payments, and administration.</w:t>
      </w:r>
    </w:p>
    <w:p>
      <w:pPr>
        <w:spacing w:after="100"/>
        <w:ind w:left="173"/>
      </w:pPr>
      <w:r>
        <w:rPr>
          <w:rFonts w:ascii="Arial" w:hAnsi="Arial"/>
          <w:b/>
          <w:i w:val="0"/>
          <w:color w:val="9B1C1C"/>
          <w:sz w:val="20"/>
        </w:rPr>
        <w:t xml:space="preserve">– Less proprietary character. </w:t>
      </w:r>
      <w:r>
        <w:rPr>
          <w:rFonts w:ascii="Arial" w:hAnsi="Arial"/>
          <w:b w:val="0"/>
          <w:i w:val="0"/>
          <w:color w:val="111111"/>
          <w:sz w:val="20"/>
        </w:rPr>
        <w:t>It sounds more like a functional product than an invented category-defining brand.</w:t>
      </w:r>
    </w:p>
    <w:p>
      <w:pPr>
        <w:pStyle w:val="BriefLabel"/>
      </w:pPr>
      <w:r>
        <w:t>Best working tagline</w:t>
      </w:r>
    </w:p>
    <w:p>
      <w:pPr>
        <w:spacing w:after="140"/>
      </w:pPr>
      <w:r>
        <w:t>RouteStride — Every Job Moving Forward</w:t>
      </w:r>
    </w:p>
    <w:p>
      <w:pPr>
        <w:pStyle w:val="Heading2"/>
      </w:pPr>
      <w:r>
        <w:t>Working scorecard</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Meaning &amp; fit</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Memorability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Availability</w:t>
            </w:r>
          </w:p>
        </w:tc>
        <w:tc>
          <w:tcPr>
            <w:tcW w:type="dxa" w:w="2340"/>
            <w:shd w:fill="E8EEF5"/>
            <w:tcMar>
              <w:top w:w="90" w:type="dxa"/>
              <w:start w:w="110" w:type="dxa"/>
              <w:bottom w:w="90" w:type="dxa"/>
              <w:end w:w="110" w:type="dxa"/>
            </w:tcMar>
            <w:vAlign w:val="center"/>
          </w:tcPr>
          <w:p>
            <w:pPr>
              <w:jc w:val="center"/>
            </w:pPr>
            <w:r>
              <w:rPr>
                <w:rFonts w:ascii="Arial" w:hAnsi="Arial"/>
                <w:b/>
                <w:i w:val="0"/>
                <w:color w:val="17324D"/>
                <w:sz w:val="18"/>
              </w:rPr>
              <w:t>Overall</w:t>
            </w:r>
          </w:p>
        </w:tc>
      </w:tr>
      <w:tr>
        <w:tc>
          <w:tcPr>
            <w:tcW w:type="dxa" w:w="2340"/>
            <w:tcMar>
              <w:top w:w="90" w:type="dxa"/>
              <w:start w:w="110" w:type="dxa"/>
              <w:bottom w:w="90" w:type="dxa"/>
              <w:end w:w="110" w:type="dxa"/>
            </w:tcMar>
            <w:vAlign w:val="center"/>
          </w:tcPr>
          <w:p>
            <w:pPr>
              <w:jc w:val="center"/>
            </w:pPr>
            <w:r>
              <w:rPr>
                <w:rFonts w:ascii="Arial" w:hAnsi="Arial"/>
                <w:b w:val="0"/>
                <w:i w:val="0"/>
                <w:color w:val="111111"/>
                <w:sz w:val="21"/>
              </w:rPr>
              <w:t>8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8 / 10</w:t>
            </w:r>
          </w:p>
        </w:tc>
        <w:tc>
          <w:tcPr>
            <w:tcW w:type="dxa" w:w="2340"/>
            <w:tcMar>
              <w:top w:w="90" w:type="dxa"/>
              <w:start w:w="110" w:type="dxa"/>
              <w:bottom w:w="90" w:type="dxa"/>
              <w:end w:w="110" w:type="dxa"/>
            </w:tcMar>
            <w:vAlign w:val="center"/>
          </w:tcPr>
          <w:p>
            <w:pPr>
              <w:jc w:val="center"/>
            </w:pPr>
            <w:r>
              <w:rPr>
                <w:rFonts w:ascii="Arial" w:hAnsi="Arial"/>
                <w:b w:val="0"/>
                <w:i w:val="0"/>
                <w:color w:val="111111"/>
                <w:sz w:val="21"/>
              </w:rPr>
              <w:t>7.5 / 10</w:t>
            </w:r>
          </w:p>
        </w:tc>
        <w:tc>
          <w:tcPr>
            <w:tcW w:type="dxa" w:w="2340"/>
            <w:tcMar>
              <w:top w:w="90" w:type="dxa"/>
              <w:start w:w="110" w:type="dxa"/>
              <w:bottom w:w="90" w:type="dxa"/>
              <w:end w:w="110" w:type="dxa"/>
            </w:tcMar>
            <w:vAlign w:val="center"/>
          </w:tcPr>
          <w:p>
            <w:pPr>
              <w:jc w:val="center"/>
            </w:pPr>
            <w:r>
              <w:rPr>
                <w:rFonts w:ascii="Arial" w:hAnsi="Arial"/>
                <w:b/>
                <w:i w:val="0"/>
                <w:color w:val="17324D"/>
                <w:sz w:val="21"/>
              </w:rPr>
              <w:t>7.5 / 10</w:t>
            </w:r>
          </w:p>
        </w:tc>
      </w:tr>
    </w:tbl>
    <w:p>
      <w:r>
        <w:br w:type="page"/>
      </w:r>
    </w:p>
    <w:p>
      <w:pPr>
        <w:pStyle w:val="Heading1"/>
      </w:pPr>
      <w:r>
        <w:t>Decision Guidance and Next Actions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FFF4D6"/>
          </w:tcPr>
          <w:p>
            <w:pPr>
              <w:spacing w:after="0"/>
            </w:pPr>
            <w:r>
              <w:rPr>
                <w:rFonts w:ascii="Arial" w:hAnsi="Arial"/>
                <w:b/>
                <w:i w:val="0"/>
                <w:color w:val="7A5A00"/>
                <w:sz w:val="21"/>
              </w:rPr>
              <w:t xml:space="preserve">WORKING RECOMMENDATION  </w:t>
            </w:r>
            <w:r>
              <w:rPr>
                <w:rFonts w:ascii="Arial" w:hAnsi="Arial"/>
                <w:b w:val="0"/>
                <w:i w:val="0"/>
                <w:color w:val="111111"/>
                <w:sz w:val="21"/>
              </w:rPr>
              <w:t>Keep all four alive until a professional knockout search is completed. Do not purchase a full identity system or rename the Xcode project based solely on preliminary research.</w:t>
            </w:r>
          </w:p>
        </w:tc>
      </w:tr>
    </w:tbl>
    <w:p>
      <w:pPr>
        <w:spacing w:after="40"/>
      </w:pPr>
    </w:p>
    <w:p>
      <w:pPr>
        <w:pStyle w:val="Heading2"/>
      </w:pPr>
      <w:r>
        <w:t>How to choose among the finalists</w:t>
      </w:r>
    </w:p>
    <w:p>
      <w:pPr>
        <w:pStyle w:val="BriefLabel"/>
      </w:pPr>
      <w:r>
        <w:t>Choose PlenaRoute if…</w:t>
      </w:r>
    </w:p>
    <w:p>
      <w:pPr>
        <w:spacing w:after="140"/>
      </w:pPr>
      <w:r>
        <w:t>the priority is a meaningful, scalable master brand that represents the complete operating lifecycle, and counsel is comfortable with the neighboring Plena / Plenar / Plenary uses.</w:t>
      </w:r>
    </w:p>
    <w:p>
      <w:pPr>
        <w:pStyle w:val="BriefLabel"/>
      </w:pPr>
      <w:r>
        <w:t>Choose TelosRoute if…</w:t>
      </w:r>
    </w:p>
    <w:p>
      <w:pPr>
        <w:spacing w:after="140"/>
      </w:pPr>
      <w:r>
        <w:t>the priority is an intelligent purpose-driven story and counsel concludes the full compound is sufficiently distinct from existing TELOS technology marks.</w:t>
      </w:r>
    </w:p>
    <w:p>
      <w:pPr>
        <w:pStyle w:val="BriefLabel"/>
      </w:pPr>
      <w:r>
        <w:t>Choose MAVRUTE if…</w:t>
      </w:r>
    </w:p>
    <w:p>
      <w:pPr>
        <w:spacing w:after="140"/>
      </w:pPr>
      <w:r>
        <w:t>the priority is a visually powerful invented brand and counsel specifically clears the MavenRoute similarity concern.</w:t>
      </w:r>
    </w:p>
    <w:p>
      <w:pPr>
        <w:pStyle w:val="BriefLabel"/>
      </w:pPr>
      <w:r>
        <w:t>Choose RouteStride if…</w:t>
      </w:r>
    </w:p>
    <w:p>
      <w:pPr>
        <w:spacing w:after="140"/>
      </w:pPr>
      <w:r>
        <w:t>the priority is immediate understanding, easy verbal adoption, and lower preliminary collision risk—even at the expense of some exclusivity.</w:t>
      </w:r>
    </w:p>
    <w:p>
      <w:pPr>
        <w:pStyle w:val="Heading2"/>
      </w:pPr>
      <w:r>
        <w:t>Required clearance sequence</w:t>
      </w:r>
    </w:p>
    <w:p>
      <w:pPr>
        <w:pStyle w:val="BriefLabel"/>
      </w:pPr>
      <w:r>
        <w:t>1. Attorney knockout search</w:t>
      </w:r>
    </w:p>
    <w:p>
      <w:pPr>
        <w:spacing w:after="140"/>
      </w:pPr>
      <w:r>
        <w:t>Search exact marks, phonetic variants, dominant components, and related Classes 9, 35, 39, and 42.</w:t>
      </w:r>
    </w:p>
    <w:p>
      <w:pPr>
        <w:pStyle w:val="BriefLabel"/>
      </w:pPr>
      <w:r>
        <w:t>2. App marketplace confirmation</w:t>
      </w:r>
    </w:p>
    <w:p>
      <w:pPr>
        <w:spacing w:after="140"/>
      </w:pPr>
      <w:r>
        <w:t>Recheck the U.S. App Store, Google Play, SaaS directories, and newly launched products immediately before filing.</w:t>
      </w:r>
    </w:p>
    <w:p>
      <w:pPr>
        <w:pStyle w:val="BriefLabel"/>
      </w:pPr>
      <w:r>
        <w:t>3. Domain and handle acquisition</w:t>
      </w:r>
    </w:p>
    <w:p>
      <w:pPr>
        <w:spacing w:after="140"/>
      </w:pPr>
      <w:r>
        <w:t>Secure the primary .com plus defensive domains and the most important social handles only after legal guidance.</w:t>
      </w:r>
    </w:p>
    <w:p>
      <w:pPr>
        <w:pStyle w:val="BriefLabel"/>
      </w:pPr>
      <w:r>
        <w:t>4. Customer pronunciation test</w:t>
      </w:r>
    </w:p>
    <w:p>
      <w:pPr>
        <w:spacing w:after="140"/>
      </w:pPr>
      <w:r>
        <w:t>Ask prospective users to read, repeat, spell, and recall each finalist without coaching.</w:t>
      </w:r>
    </w:p>
    <w:p>
      <w:pPr>
        <w:pStyle w:val="BriefLabel"/>
      </w:pPr>
      <w:r>
        <w:t>5. Trademark filing strategy</w:t>
      </w:r>
    </w:p>
    <w:p>
      <w:pPr>
        <w:spacing w:after="140"/>
      </w:pPr>
      <w:r>
        <w:t>Determine word-mark and logo-mark filings before public launch or extensive brand investment.</w:t>
      </w:r>
    </w:p>
    <w:p>
      <w:pPr>
        <w:pStyle w:val="Heading2"/>
      </w:pPr>
      <w:r>
        <w:t>Research Limitations</w:t>
      </w:r>
    </w:p>
    <w:p>
      <w:r>
        <w:t>This brief summarizes preliminary public-source research, not legal clearance. Search results and availability can change; professional review remains required.</w:t>
      </w:r>
    </w:p>
    <w:p>
      <w:pPr>
        <w:pStyle w:val="Heading2"/>
      </w:pPr>
      <w:r>
        <w:t>Current Finalist Ranking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10" w:type="dxa"/>
              <w:bottom w:w="90" w:type="dxa"/>
              <w:end w:w="110" w:type="dxa"/>
            </w:tcMar>
            <w:vAlign w:val="center"/>
            <w:shd w:fill="E8EEF5"/>
          </w:tcPr>
          <w:p>
            <w:pPr>
              <w:spacing w:after="0"/>
            </w:pPr>
            <w:r>
              <w:rPr>
                <w:rFonts w:ascii="Arial" w:hAnsi="Arial"/>
                <w:b/>
                <w:i w:val="0"/>
                <w:color w:val="17324D"/>
                <w:sz w:val="21"/>
              </w:rPr>
              <w:t xml:space="preserve">1  OPEN    2  PLENAROUTE    3  TELOSROUTE    4  MAVRUTE    5  ROUTESTRIDE  </w:t>
            </w:r>
            <w:r>
              <w:rPr>
                <w:rFonts w:ascii="Arial" w:hAnsi="Arial"/>
                <w:b w:val="0"/>
                <w:i w:val="0"/>
                <w:color w:val="111111"/>
                <w:sz w:val="21"/>
              </w:rPr>
            </w:r>
          </w:p>
        </w:tc>
      </w:tr>
    </w:tbl>
    <w:p>
      <w:pPr>
        <w:spacing w:after="40"/>
      </w:pP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717D"/>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DDE3"/>
      </w:pBdr>
    </w:pPr>
    <w:r>
      <w:rPr>
        <w:rFonts w:ascii="Arial" w:hAnsi="Arial"/>
        <w:b/>
        <w:i w:val="0"/>
        <w:color w:val="66717D"/>
        <w:sz w:val="17"/>
      </w:rPr>
      <w:t>PFSS  |  Phase 17 Naming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Label">
    <w:name w:val="Brief Label"/>
    <w:pPr>
      <w:keepNext/>
      <w:spacing w:before="80" w:after="40"/>
    </w:pPr>
    <w:rPr>
      <w:rFonts w:ascii="Arial" w:hAnsi="Arial"/>
      <w:b/>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PFSS Commercial App Naming Review — Finalist Comparison</dc:title>
  <dc:subject>Phase 17 Step 8b app-name comparison</dc:subject>
  <dc:creator>PFSS Product Development</dc:creator>
  <cp:keywords>PFSS, app naming, PlenaRoute, TelosRoute, MAVRUTE, RouteStride</cp:keywords>
  <dc:description>generated by python-docx</dc:description>
  <cp:lastModifiedBy/>
  <cp:revision>1</cp:revision>
  <dcterms:created xsi:type="dcterms:W3CDTF">2013-12-23T23:15:00Z</dcterms:created>
  <dcterms:modified xsi:type="dcterms:W3CDTF">2013-12-23T23:15:00Z</dcterms:modified>
  <cp:category/>
</cp:coreProperties>
</file>