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b/>
          <w:color w:val="2E75B6"/>
          <w:sz w:val="36"/>
        </w:rPr>
        <w:t>PFSS</w:t>
      </w:r>
    </w:p>
    <w:p>
      <w:pPr>
        <w:pStyle w:val="Title"/>
        <w:jc w:val="center"/>
      </w:pPr>
      <w:r>
        <w:t>Phase 2 – Data Architecture Review</w:t>
      </w:r>
    </w:p>
    <w:p>
      <w:pPr>
        <w:jc w:val="center"/>
      </w:pPr>
      <w:r>
        <w:rPr>
          <w:color w:val="555555"/>
          <w:sz w:val="28"/>
        </w:rPr>
        <w:t>Stability Audit Deliverable</w:t>
      </w:r>
    </w:p>
    <w:p>
      <w:r>
        <w:br/>
      </w:r>
    </w:p>
    <w:tbl>
      <w:tblPr>
        <w:tblStyle w:val="TableGrid"/>
        <w:tblW w:type="auto" w:w="0"/>
        <w:jc w:val="center"/>
        <w:tblLook w:firstColumn="1" w:firstRow="1" w:lastColumn="0" w:lastRow="0" w:noHBand="0" w:noVBand="1" w:val="04A0"/>
      </w:tblPr>
      <w:tblGrid>
        <w:gridCol w:w="10224"/>
      </w:tblGrid>
      <w:tr>
        <w:tc>
          <w:tcPr>
            <w:tcW w:type="dxa" w:w="10224"/>
            <w:shd w:fill="EAF2F8"/>
          </w:tcPr>
          <w:p>
            <w:r/>
            <w:r>
              <w:rPr>
                <w:b/>
                <w:color w:val="18324A"/>
              </w:rPr>
              <w:t xml:space="preserve">Goal  </w:t>
            </w:r>
            <w:r>
              <w:t>Ensure every persisted and observable piece of data has a clear owner, a stable identity, and a safe path through the application lifecycle.</w:t>
            </w:r>
          </w:p>
        </w:tc>
      </w:tr>
    </w:tbl>
    <w:p>
      <w:pPr>
        <w:spacing w:after="0"/>
      </w:pPr>
    </w:p>
    <w:p>
      <w:pPr>
        <w:spacing w:before="800"/>
        <w:jc w:val="center"/>
      </w:pPr>
      <w:r>
        <w:rPr>
          <w:b/>
        </w:rPr>
        <w:t>Source reviewed: PPS Receipt Printer(2).zip</w:t>
        <w:br/>
      </w:r>
      <w:r>
        <w:t>Review date: July 20, 2026</w:t>
        <w:br/>
      </w:r>
      <w:r>
        <w:t>Scope: AppDataStore, persistence, domain models, state ownership, record numbering, relationships, and serialization</w:t>
      </w:r>
    </w:p>
    <w:p>
      <w:r>
        <w:br w:type="page"/>
      </w:r>
    </w:p>
    <w:p>
      <w:pPr>
        <w:pStyle w:val="Heading1"/>
      </w:pPr>
      <w:r>
        <w:t>1. Executive Summary</w:t>
      </w:r>
    </w:p>
    <w:p>
      <w:r>
        <w:t>The PFSS data layer is structurally sound for a local-first Version 1 product. The business workflow is represented clearly, the principal domain records are strongly typed and Codable, and a single AppDataStore instance is created at the application root and distributed through SwiftUI environment injection.</w:t>
      </w:r>
    </w:p>
    <w:p>
      <w:r>
        <w:t>The primary architectural concern is concentration of responsibility. AppDataStore currently owns ten persisted collections/settings objects, record-number generation, cross-domain conversions, workflow transitions, persistence, seeding, and archive/restore behavior. This is manageable today, but the file has reached the point where future feature growth will increase coupling and make changes harder to test safely.</w:t>
      </w:r>
    </w:p>
    <w:tbl>
      <w:tblPr>
        <w:tblStyle w:val="TableGrid"/>
        <w:tblW w:type="auto" w:w="0"/>
        <w:jc w:val="center"/>
        <w:tblLook w:firstColumn="1" w:firstRow="1" w:lastColumn="0" w:lastRow="0" w:noHBand="0" w:noVBand="1" w:val="04A0"/>
      </w:tblPr>
      <w:tblGrid>
        <w:gridCol w:w="10224"/>
      </w:tblGrid>
      <w:tr>
        <w:tc>
          <w:tcPr>
            <w:tcW w:type="dxa" w:w="10224"/>
            <w:shd w:fill="E2F0D9"/>
          </w:tcPr>
          <w:p>
            <w:r/>
            <w:r>
              <w:rPr>
                <w:b/>
                <w:color w:val="18324A"/>
              </w:rPr>
              <w:t xml:space="preserve">Overall conclusion  </w:t>
            </w:r>
            <w:r>
              <w:t>Do not rewrite the data layer before V1.0. Stabilize it by documenting ownership, hardening persistence and serialization, and adding focused tests. After V1.0, evolve AppDataStore into a façade over domain-specific stores and a persistence service.</w:t>
            </w:r>
          </w:p>
        </w:tc>
      </w:tr>
    </w:tbl>
    <w:p>
      <w:pPr>
        <w:spacing w:after="0"/>
      </w:pPr>
    </w:p>
    <w:tbl>
      <w:tblPr>
        <w:tblStyle w:val="TableGrid"/>
        <w:tblW w:type="auto" w:w="0"/>
        <w:jc w:val="center"/>
        <w:tblLook w:firstColumn="1" w:firstRow="1" w:lastColumn="0" w:lastRow="0" w:noHBand="0" w:noVBand="1" w:val="04A0"/>
      </w:tblPr>
      <w:tblGrid>
        <w:gridCol w:w="3408"/>
        <w:gridCol w:w="3408"/>
        <w:gridCol w:w="3408"/>
      </w:tblGrid>
      <w:tr>
        <w:tc>
          <w:tcPr>
            <w:tcW w:type="dxa" w:w="1944"/>
            <w:vAlign w:val="center"/>
            <w:shd w:fill="18324A"/>
          </w:tcPr>
          <w:p>
            <w:r/>
            <w:r>
              <w:rPr>
                <w:b/>
                <w:color w:val="FFFFFF"/>
                <w:sz w:val="18"/>
              </w:rPr>
              <w:t>Review area</w:t>
            </w:r>
          </w:p>
        </w:tc>
        <w:tc>
          <w:tcPr>
            <w:tcW w:type="dxa" w:w="1152"/>
            <w:vAlign w:val="center"/>
            <w:shd w:fill="18324A"/>
          </w:tcPr>
          <w:p>
            <w:r/>
            <w:r>
              <w:rPr>
                <w:b/>
                <w:color w:val="FFFFFF"/>
                <w:sz w:val="18"/>
              </w:rPr>
              <w:t>Assessment</w:t>
            </w:r>
          </w:p>
        </w:tc>
        <w:tc>
          <w:tcPr>
            <w:tcW w:type="dxa" w:w="6912"/>
            <w:vAlign w:val="center"/>
            <w:shd w:fill="18324A"/>
          </w:tcPr>
          <w:p>
            <w:r/>
            <w:r>
              <w:rPr>
                <w:b/>
                <w:color w:val="FFFFFF"/>
                <w:sz w:val="18"/>
              </w:rPr>
              <w:t>Key conclusion</w:t>
            </w:r>
          </w:p>
        </w:tc>
      </w:tr>
      <w:tr>
        <w:tc>
          <w:tcPr>
            <w:tcW w:type="dxa" w:w="1944"/>
            <w:vAlign w:val="center"/>
          </w:tcPr>
          <w:p>
            <w:r/>
            <w:r>
              <w:rPr>
                <w:b w:val="0"/>
                <w:sz w:val="17"/>
              </w:rPr>
              <w:t>AppDataStore</w:t>
            </w:r>
          </w:p>
        </w:tc>
        <w:tc>
          <w:tcPr>
            <w:tcW w:type="dxa" w:w="1152"/>
            <w:vAlign w:val="center"/>
          </w:tcPr>
          <w:p>
            <w:r/>
            <w:r>
              <w:rPr>
                <w:b w:val="0"/>
                <w:sz w:val="17"/>
              </w:rPr>
              <w:t>B</w:t>
            </w:r>
          </w:p>
        </w:tc>
        <w:tc>
          <w:tcPr>
            <w:tcW w:type="dxa" w:w="6912"/>
            <w:vAlign w:val="center"/>
          </w:tcPr>
          <w:p>
            <w:r/>
            <w:r>
              <w:rPr>
                <w:b w:val="0"/>
                <w:sz w:val="17"/>
              </w:rPr>
              <w:t>Correct central state owner, but overloaded with persistence and cross-domain orchestration.</w:t>
            </w:r>
          </w:p>
        </w:tc>
      </w:tr>
      <w:tr>
        <w:tc>
          <w:tcPr>
            <w:tcW w:type="dxa" w:w="1944"/>
            <w:vAlign w:val="center"/>
          </w:tcPr>
          <w:p>
            <w:r/>
            <w:r>
              <w:rPr>
                <w:b w:val="0"/>
                <w:sz w:val="17"/>
              </w:rPr>
              <w:t>Persistence</w:t>
            </w:r>
          </w:p>
        </w:tc>
        <w:tc>
          <w:tcPr>
            <w:tcW w:type="dxa" w:w="1152"/>
            <w:vAlign w:val="center"/>
          </w:tcPr>
          <w:p>
            <w:r/>
            <w:r>
              <w:rPr>
                <w:b w:val="0"/>
                <w:sz w:val="17"/>
              </w:rPr>
              <w:t>B+</w:t>
            </w:r>
          </w:p>
        </w:tc>
        <w:tc>
          <w:tcPr>
            <w:tcW w:type="dxa" w:w="6912"/>
            <w:vAlign w:val="center"/>
          </w:tcPr>
          <w:p>
            <w:r/>
            <w:r>
              <w:rPr>
                <w:b w:val="0"/>
                <w:sz w:val="17"/>
              </w:rPr>
              <w:t>Simple and appropriate for V1; needs safer failure handling, backup, and write control.</w:t>
            </w:r>
          </w:p>
        </w:tc>
      </w:tr>
      <w:tr>
        <w:tc>
          <w:tcPr>
            <w:tcW w:type="dxa" w:w="1944"/>
            <w:vAlign w:val="center"/>
          </w:tcPr>
          <w:p>
            <w:r/>
            <w:r>
              <w:rPr>
                <w:b w:val="0"/>
                <w:sz w:val="17"/>
              </w:rPr>
              <w:t>Domain models</w:t>
            </w:r>
          </w:p>
        </w:tc>
        <w:tc>
          <w:tcPr>
            <w:tcW w:type="dxa" w:w="1152"/>
            <w:vAlign w:val="center"/>
          </w:tcPr>
          <w:p>
            <w:r/>
            <w:r>
              <w:rPr>
                <w:b w:val="0"/>
                <w:sz w:val="17"/>
              </w:rPr>
              <w:t>A-</w:t>
            </w:r>
          </w:p>
        </w:tc>
        <w:tc>
          <w:tcPr>
            <w:tcW w:type="dxa" w:w="6912"/>
            <w:vAlign w:val="center"/>
          </w:tcPr>
          <w:p>
            <w:r/>
            <w:r>
              <w:rPr>
                <w:b w:val="0"/>
                <w:sz w:val="17"/>
              </w:rPr>
              <w:t>Strong business fit; one large file and some mixed identity conventions.</w:t>
            </w:r>
          </w:p>
        </w:tc>
      </w:tr>
      <w:tr>
        <w:tc>
          <w:tcPr>
            <w:tcW w:type="dxa" w:w="1944"/>
            <w:vAlign w:val="center"/>
          </w:tcPr>
          <w:p>
            <w:r/>
            <w:r>
              <w:rPr>
                <w:b w:val="0"/>
                <w:sz w:val="17"/>
              </w:rPr>
              <w:t>State ownership</w:t>
            </w:r>
          </w:p>
        </w:tc>
        <w:tc>
          <w:tcPr>
            <w:tcW w:type="dxa" w:w="1152"/>
            <w:vAlign w:val="center"/>
          </w:tcPr>
          <w:p>
            <w:r/>
            <w:r>
              <w:rPr>
                <w:b w:val="0"/>
                <w:sz w:val="17"/>
              </w:rPr>
              <w:t>B+</w:t>
            </w:r>
          </w:p>
        </w:tc>
        <w:tc>
          <w:tcPr>
            <w:tcW w:type="dxa" w:w="6912"/>
            <w:vAlign w:val="center"/>
          </w:tcPr>
          <w:p>
            <w:r/>
            <w:r>
              <w:rPr>
                <w:b w:val="0"/>
                <w:sz w:val="17"/>
              </w:rPr>
              <w:t>Single root instance is good; mutable public collections expose a broad write surface.</w:t>
            </w:r>
          </w:p>
        </w:tc>
      </w:tr>
      <w:tr>
        <w:tc>
          <w:tcPr>
            <w:tcW w:type="dxa" w:w="1944"/>
            <w:vAlign w:val="center"/>
          </w:tcPr>
          <w:p>
            <w:r/>
            <w:r>
              <w:rPr>
                <w:b w:val="0"/>
                <w:sz w:val="17"/>
              </w:rPr>
              <w:t>Record numbering</w:t>
            </w:r>
          </w:p>
        </w:tc>
        <w:tc>
          <w:tcPr>
            <w:tcW w:type="dxa" w:w="1152"/>
            <w:vAlign w:val="center"/>
          </w:tcPr>
          <w:p>
            <w:r/>
            <w:r>
              <w:rPr>
                <w:b w:val="0"/>
                <w:sz w:val="17"/>
              </w:rPr>
              <w:t>B</w:t>
            </w:r>
          </w:p>
        </w:tc>
        <w:tc>
          <w:tcPr>
            <w:tcW w:type="dxa" w:w="6912"/>
            <w:vAlign w:val="center"/>
          </w:tcPr>
          <w:p>
            <w:r/>
            <w:r>
              <w:rPr>
                <w:b w:val="0"/>
                <w:sz w:val="17"/>
              </w:rPr>
              <w:t>Readable and persistent; sequence policy needs explicit guarantees and tests.</w:t>
            </w:r>
          </w:p>
        </w:tc>
      </w:tr>
      <w:tr>
        <w:tc>
          <w:tcPr>
            <w:tcW w:type="dxa" w:w="1944"/>
            <w:vAlign w:val="center"/>
          </w:tcPr>
          <w:p>
            <w:r/>
            <w:r>
              <w:rPr>
                <w:b w:val="0"/>
                <w:sz w:val="17"/>
              </w:rPr>
              <w:t>Relationships</w:t>
            </w:r>
          </w:p>
        </w:tc>
        <w:tc>
          <w:tcPr>
            <w:tcW w:type="dxa" w:w="1152"/>
            <w:vAlign w:val="center"/>
          </w:tcPr>
          <w:p>
            <w:r/>
            <w:r>
              <w:rPr>
                <w:b w:val="0"/>
                <w:sz w:val="17"/>
              </w:rPr>
              <w:t>B+</w:t>
            </w:r>
          </w:p>
        </w:tc>
        <w:tc>
          <w:tcPr>
            <w:tcW w:type="dxa" w:w="6912"/>
            <w:vAlign w:val="center"/>
          </w:tcPr>
          <w:p>
            <w:r/>
            <w:r>
              <w:rPr>
                <w:b w:val="0"/>
                <w:sz w:val="17"/>
              </w:rPr>
              <w:t>Workflow links are clear, but UUIDs, business numbers, and names are mixed as foreign keys.</w:t>
            </w:r>
          </w:p>
        </w:tc>
      </w:tr>
      <w:tr>
        <w:tc>
          <w:tcPr>
            <w:tcW w:type="dxa" w:w="1944"/>
            <w:vAlign w:val="center"/>
          </w:tcPr>
          <w:p>
            <w:r/>
            <w:r>
              <w:rPr>
                <w:b w:val="0"/>
                <w:sz w:val="17"/>
              </w:rPr>
              <w:t>Serialization</w:t>
            </w:r>
          </w:p>
        </w:tc>
        <w:tc>
          <w:tcPr>
            <w:tcW w:type="dxa" w:w="1152"/>
            <w:vAlign w:val="center"/>
          </w:tcPr>
          <w:p>
            <w:r/>
            <w:r>
              <w:rPr>
                <w:b w:val="0"/>
                <w:sz w:val="17"/>
              </w:rPr>
              <w:t>B+</w:t>
            </w:r>
          </w:p>
        </w:tc>
        <w:tc>
          <w:tcPr>
            <w:tcW w:type="dxa" w:w="6912"/>
            <w:vAlign w:val="center"/>
          </w:tcPr>
          <w:p>
            <w:r/>
            <w:r>
              <w:rPr>
                <w:b w:val="0"/>
                <w:sz w:val="17"/>
              </w:rPr>
              <w:t>Good backward-compatible decoding in newer models; no explicit schema version or migration coordinator.</w:t>
            </w:r>
          </w:p>
        </w:tc>
      </w:tr>
    </w:tbl>
    <w:p>
      <w:pPr>
        <w:spacing w:after="0"/>
      </w:pPr>
    </w:p>
    <w:p>
      <w:pPr>
        <w:pStyle w:val="Heading1"/>
      </w:pPr>
      <w:r>
        <w:t>2. Review Scope and Evidence</w:t>
      </w:r>
    </w:p>
    <w:p>
      <w:r>
        <w:t>This review was performed against the uploaded project archive. The principal files inspected were AppDataStore.swift (953 lines), Models.swift (1,014 lines), the application root, operations/decision models, recommendation rules, and view usage of AppDataStore.</w:t>
      </w:r>
    </w:p>
    <w:p>
      <w:pPr>
        <w:pStyle w:val="ListBullet"/>
      </w:pPr>
      <w:r>
        <w:t>AppDataStore publishes customers, sites, leads, estimates, jobs, invoices, businessProfile, serviceCatalogItems, recommendationRules, and employees.</w:t>
      </w:r>
    </w:p>
    <w:p>
      <w:pPr>
        <w:pStyle w:val="ListBullet"/>
      </w:pPr>
      <w:r>
        <w:t>The app root creates one AppDataStore with @StateObject and injects it as an environment object.</w:t>
      </w:r>
    </w:p>
    <w:p>
      <w:pPr>
        <w:pStyle w:val="ListBullet"/>
      </w:pPr>
      <w:r>
        <w:t>Persistence uses Codable, JSONEncoder/JSONDecoder, FileManager, an atomic write, and one snapshot file in Documents.</w:t>
      </w:r>
    </w:p>
    <w:p>
      <w:pPr>
        <w:pStyle w:val="ListBullet"/>
      </w:pPr>
      <w:r>
        <w:t>Business links are represented with UUIDs and human-readable record numbers; some personnel assignments still use names.</w:t>
      </w:r>
    </w:p>
    <w:p>
      <w:pPr>
        <w:pStyle w:val="ListBullet"/>
      </w:pPr>
      <w:r>
        <w:t>Several newer models include decodeIfPresent fallbacks, demonstrating deliberate backward compatibility.</w:t>
      </w:r>
    </w:p>
    <w:p>
      <w:pPr>
        <w:pStyle w:val="Heading1"/>
      </w:pPr>
      <w:r>
        <w:t>3. AppDataStore Review</w:t>
      </w:r>
    </w:p>
    <w:p>
      <w:pPr>
        <w:pStyle w:val="Heading2"/>
      </w:pPr>
      <w:r>
        <w:t>3.1 Current responsibilities</w:t>
      </w:r>
    </w:p>
    <w:tbl>
      <w:tblPr>
        <w:tblStyle w:val="TableGrid"/>
        <w:tblW w:type="auto" w:w="0"/>
        <w:jc w:val="center"/>
        <w:tblLook w:firstColumn="1" w:firstRow="1" w:lastColumn="0" w:lastRow="0" w:noHBand="0" w:noVBand="1" w:val="04A0"/>
      </w:tblPr>
      <w:tblGrid>
        <w:gridCol w:w="3408"/>
        <w:gridCol w:w="3408"/>
        <w:gridCol w:w="3408"/>
      </w:tblGrid>
      <w:tr>
        <w:tc>
          <w:tcPr>
            <w:tcW w:type="dxa" w:w="2880"/>
            <w:vAlign w:val="center"/>
            <w:shd w:fill="18324A"/>
          </w:tcPr>
          <w:p>
            <w:r/>
            <w:r>
              <w:rPr>
                <w:b/>
                <w:color w:val="FFFFFF"/>
                <w:sz w:val="18"/>
              </w:rPr>
              <w:t>Responsibility</w:t>
            </w:r>
          </w:p>
        </w:tc>
        <w:tc>
          <w:tcPr>
            <w:tcW w:type="dxa" w:w="3024"/>
            <w:vAlign w:val="center"/>
            <w:shd w:fill="18324A"/>
          </w:tcPr>
          <w:p>
            <w:r/>
            <w:r>
              <w:rPr>
                <w:b/>
                <w:color w:val="FFFFFF"/>
                <w:sz w:val="18"/>
              </w:rPr>
              <w:t>Current owner</w:t>
            </w:r>
          </w:p>
        </w:tc>
        <w:tc>
          <w:tcPr>
            <w:tcW w:type="dxa" w:w="4320"/>
            <w:vAlign w:val="center"/>
            <w:shd w:fill="18324A"/>
          </w:tcPr>
          <w:p>
            <w:r/>
            <w:r>
              <w:rPr>
                <w:b/>
                <w:color w:val="FFFFFF"/>
                <w:sz w:val="18"/>
              </w:rPr>
              <w:t>Assessment</w:t>
            </w:r>
          </w:p>
        </w:tc>
      </w:tr>
      <w:tr>
        <w:tc>
          <w:tcPr>
            <w:tcW w:type="dxa" w:w="2880"/>
            <w:vAlign w:val="center"/>
          </w:tcPr>
          <w:p>
            <w:r/>
            <w:r>
              <w:rPr>
                <w:b w:val="0"/>
                <w:sz w:val="17"/>
              </w:rPr>
              <w:t>Observable application state</w:t>
            </w:r>
          </w:p>
        </w:tc>
        <w:tc>
          <w:tcPr>
            <w:tcW w:type="dxa" w:w="3024"/>
            <w:vAlign w:val="center"/>
          </w:tcPr>
          <w:p>
            <w:r/>
            <w:r>
              <w:rPr>
                <w:b w:val="0"/>
                <w:sz w:val="17"/>
              </w:rPr>
              <w:t>AppDataStore</w:t>
            </w:r>
          </w:p>
        </w:tc>
        <w:tc>
          <w:tcPr>
            <w:tcW w:type="dxa" w:w="4320"/>
            <w:vAlign w:val="center"/>
          </w:tcPr>
          <w:p>
            <w:r/>
            <w:r>
              <w:rPr>
                <w:b w:val="0"/>
                <w:sz w:val="17"/>
              </w:rPr>
              <w:t>Appropriate for the current SwiftUI architecture.</w:t>
            </w:r>
          </w:p>
        </w:tc>
      </w:tr>
      <w:tr>
        <w:tc>
          <w:tcPr>
            <w:tcW w:type="dxa" w:w="2880"/>
            <w:vAlign w:val="center"/>
          </w:tcPr>
          <w:p>
            <w:r/>
            <w:r>
              <w:rPr>
                <w:b w:val="0"/>
                <w:sz w:val="17"/>
              </w:rPr>
              <w:t>CRUD and archive/restore</w:t>
            </w:r>
          </w:p>
        </w:tc>
        <w:tc>
          <w:tcPr>
            <w:tcW w:type="dxa" w:w="3024"/>
            <w:vAlign w:val="center"/>
          </w:tcPr>
          <w:p>
            <w:r/>
            <w:r>
              <w:rPr>
                <w:b w:val="0"/>
                <w:sz w:val="17"/>
              </w:rPr>
              <w:t>AppDataStore</w:t>
            </w:r>
          </w:p>
        </w:tc>
        <w:tc>
          <w:tcPr>
            <w:tcW w:type="dxa" w:w="4320"/>
            <w:vAlign w:val="center"/>
          </w:tcPr>
          <w:p>
            <w:r/>
            <w:r>
              <w:rPr>
                <w:b w:val="0"/>
                <w:sz w:val="17"/>
              </w:rPr>
              <w:t>Consistent, but all domains share one mutation surface.</w:t>
            </w:r>
          </w:p>
        </w:tc>
      </w:tr>
      <w:tr>
        <w:tc>
          <w:tcPr>
            <w:tcW w:type="dxa" w:w="2880"/>
            <w:vAlign w:val="center"/>
          </w:tcPr>
          <w:p>
            <w:r/>
            <w:r>
              <w:rPr>
                <w:b w:val="0"/>
                <w:sz w:val="17"/>
              </w:rPr>
              <w:t>Record numbering</w:t>
            </w:r>
          </w:p>
        </w:tc>
        <w:tc>
          <w:tcPr>
            <w:tcW w:type="dxa" w:w="3024"/>
            <w:vAlign w:val="center"/>
          </w:tcPr>
          <w:p>
            <w:r/>
            <w:r>
              <w:rPr>
                <w:b w:val="0"/>
                <w:sz w:val="17"/>
              </w:rPr>
              <w:t>AppDataStore</w:t>
            </w:r>
          </w:p>
        </w:tc>
        <w:tc>
          <w:tcPr>
            <w:tcW w:type="dxa" w:w="4320"/>
            <w:vAlign w:val="center"/>
          </w:tcPr>
          <w:p>
            <w:r/>
            <w:r>
              <w:rPr>
                <w:b w:val="0"/>
                <w:sz w:val="17"/>
              </w:rPr>
              <w:t>Works, but is a separate business capability.</w:t>
            </w:r>
          </w:p>
        </w:tc>
      </w:tr>
      <w:tr>
        <w:tc>
          <w:tcPr>
            <w:tcW w:type="dxa" w:w="2880"/>
            <w:vAlign w:val="center"/>
          </w:tcPr>
          <w:p>
            <w:r/>
            <w:r>
              <w:rPr>
                <w:b w:val="0"/>
                <w:sz w:val="17"/>
              </w:rPr>
              <w:t>Cross-domain conversion</w:t>
            </w:r>
          </w:p>
        </w:tc>
        <w:tc>
          <w:tcPr>
            <w:tcW w:type="dxa" w:w="3024"/>
            <w:vAlign w:val="center"/>
          </w:tcPr>
          <w:p>
            <w:r/>
            <w:r>
              <w:rPr>
                <w:b w:val="0"/>
                <w:sz w:val="17"/>
              </w:rPr>
              <w:t>AppDataStore</w:t>
            </w:r>
          </w:p>
        </w:tc>
        <w:tc>
          <w:tcPr>
            <w:tcW w:type="dxa" w:w="4320"/>
            <w:vAlign w:val="center"/>
          </w:tcPr>
          <w:p>
            <w:r/>
            <w:r>
              <w:rPr>
                <w:b w:val="0"/>
                <w:sz w:val="17"/>
              </w:rPr>
              <w:t>Lead→Customer, Estimate→Job, Job→Invoice are orchestration concerns.</w:t>
            </w:r>
          </w:p>
        </w:tc>
      </w:tr>
      <w:tr>
        <w:tc>
          <w:tcPr>
            <w:tcW w:type="dxa" w:w="2880"/>
            <w:vAlign w:val="center"/>
          </w:tcPr>
          <w:p>
            <w:r/>
            <w:r>
              <w:rPr>
                <w:b w:val="0"/>
                <w:sz w:val="17"/>
              </w:rPr>
              <w:t>Workflow mutation</w:t>
            </w:r>
          </w:p>
        </w:tc>
        <w:tc>
          <w:tcPr>
            <w:tcW w:type="dxa" w:w="3024"/>
            <w:vAlign w:val="center"/>
          </w:tcPr>
          <w:p>
            <w:r/>
            <w:r>
              <w:rPr>
                <w:b w:val="0"/>
                <w:sz w:val="17"/>
              </w:rPr>
              <w:t>AppDataStore + FieldOperationsEngine</w:t>
            </w:r>
          </w:p>
        </w:tc>
        <w:tc>
          <w:tcPr>
            <w:tcW w:type="dxa" w:w="4320"/>
            <w:vAlign w:val="center"/>
          </w:tcPr>
          <w:p>
            <w:r/>
            <w:r>
              <w:rPr>
                <w:b w:val="0"/>
                <w:sz w:val="17"/>
              </w:rPr>
              <w:t>Good direction; engine logic is separated, storage mutation remains centralized.</w:t>
            </w:r>
          </w:p>
        </w:tc>
      </w:tr>
      <w:tr>
        <w:tc>
          <w:tcPr>
            <w:tcW w:type="dxa" w:w="2880"/>
            <w:vAlign w:val="center"/>
          </w:tcPr>
          <w:p>
            <w:r/>
            <w:r>
              <w:rPr>
                <w:b w:val="0"/>
                <w:sz w:val="17"/>
              </w:rPr>
              <w:t>Persistence and loading</w:t>
            </w:r>
          </w:p>
        </w:tc>
        <w:tc>
          <w:tcPr>
            <w:tcW w:type="dxa" w:w="3024"/>
            <w:vAlign w:val="center"/>
          </w:tcPr>
          <w:p>
            <w:r/>
            <w:r>
              <w:rPr>
                <w:b w:val="0"/>
                <w:sz w:val="17"/>
              </w:rPr>
              <w:t>AppDataStore</w:t>
            </w:r>
          </w:p>
        </w:tc>
        <w:tc>
          <w:tcPr>
            <w:tcW w:type="dxa" w:w="4320"/>
            <w:vAlign w:val="center"/>
          </w:tcPr>
          <w:p>
            <w:r/>
            <w:r>
              <w:rPr>
                <w:b w:val="0"/>
                <w:sz w:val="17"/>
              </w:rPr>
              <w:t>Too tightly coupled to state ownership.</w:t>
            </w:r>
          </w:p>
        </w:tc>
      </w:tr>
      <w:tr>
        <w:tc>
          <w:tcPr>
            <w:tcW w:type="dxa" w:w="2880"/>
            <w:vAlign w:val="center"/>
          </w:tcPr>
          <w:p>
            <w:r/>
            <w:r>
              <w:rPr>
                <w:b w:val="0"/>
                <w:sz w:val="17"/>
              </w:rPr>
              <w:t>Default-rule seeding</w:t>
            </w:r>
          </w:p>
        </w:tc>
        <w:tc>
          <w:tcPr>
            <w:tcW w:type="dxa" w:w="3024"/>
            <w:vAlign w:val="center"/>
          </w:tcPr>
          <w:p>
            <w:r/>
            <w:r>
              <w:rPr>
                <w:b w:val="0"/>
                <w:sz w:val="17"/>
              </w:rPr>
              <w:t>AppDataStore</w:t>
            </w:r>
          </w:p>
        </w:tc>
        <w:tc>
          <w:tcPr>
            <w:tcW w:type="dxa" w:w="4320"/>
            <w:vAlign w:val="center"/>
          </w:tcPr>
          <w:p>
            <w:r/>
            <w:r>
              <w:rPr>
                <w:b w:val="0"/>
                <w:sz w:val="17"/>
              </w:rPr>
              <w:t>Bootstrap responsibility mixed into runtime storage.</w:t>
            </w:r>
          </w:p>
        </w:tc>
      </w:tr>
    </w:tbl>
    <w:p>
      <w:pPr>
        <w:spacing w:after="0"/>
      </w:pPr>
    </w:p>
    <w:p>
      <w:pPr>
        <w:pStyle w:val="Heading2"/>
      </w:pPr>
      <w:r>
        <w:t>3.2 Strengths</w:t>
      </w:r>
    </w:p>
    <w:p>
      <w:pPr>
        <w:pStyle w:val="ListBullet"/>
      </w:pPr>
      <w:r>
        <w:t>One authoritative store instance is created at the app entry point, limiting accidental duplicate production stores.</w:t>
      </w:r>
    </w:p>
    <w:p>
      <w:pPr>
        <w:pStyle w:val="ListBullet"/>
      </w:pPr>
      <w:r>
        <w:t>Views generally call store methods rather than mutating persisted collections directly.</w:t>
      </w:r>
    </w:p>
    <w:p>
      <w:pPr>
        <w:pStyle w:val="ListBullet"/>
      </w:pPr>
      <w:r>
        <w:t>Derived active/archived collections are computed rather than independently persisted, avoiding duplicate state.</w:t>
      </w:r>
    </w:p>
    <w:p>
      <w:pPr>
        <w:pStyle w:val="ListBullet"/>
      </w:pPr>
      <w:r>
        <w:t>Cross-domain conversions update both source and destination records in one coordinator.</w:t>
      </w:r>
    </w:p>
    <w:p>
      <w:pPr>
        <w:pStyle w:val="Heading2"/>
      </w:pPr>
      <w:r>
        <w:t>3.3 Findings requiring attention</w:t>
      </w:r>
    </w:p>
    <w:p>
      <w:pPr>
        <w:pStyle w:val="ListBullet"/>
      </w:pPr>
      <w:r>
        <w:t>Every @Published persisted property calls saveData() in didSet. A single business operation that changes multiple arrays can write the full snapshot multiple times.</w:t>
      </w:r>
    </w:p>
    <w:p>
      <w:pPr>
        <w:pStyle w:val="ListBullet"/>
      </w:pPr>
      <w:r>
        <w:t>loadData() assigns each published property separately; those assignments trigger repeated saves while loading. The final data may be correct, but startup performs unnecessary writes and complicates failure reasoning.</w:t>
      </w:r>
    </w:p>
    <w:p>
      <w:pPr>
        <w:pStyle w:val="ListBullet"/>
      </w:pPr>
      <w:r>
        <w:t>All persisted collections are publicly mutable. The UI currently behaves responsibly, but architecture does not prevent future direct mutations that bypass validation or orchestration.</w:t>
      </w:r>
    </w:p>
    <w:p>
      <w:pPr>
        <w:pStyle w:val="ListBullet"/>
      </w:pPr>
      <w:r>
        <w:t>The store is not explicitly isolated to @MainActor. SwiftUI normally drives it on the main thread, but persistence and future asynchronous work could introduce thread-safety risks.</w:t>
      </w:r>
    </w:p>
    <w:p>
      <w:pPr>
        <w:pStyle w:val="ListBullet"/>
      </w:pPr>
      <w:r>
        <w:t>Errors are printed only. The user is not told when a save or load fails, and no recoverable error state is exposed.</w:t>
      </w:r>
    </w:p>
    <w:p>
      <w:pPr>
        <w:pStyle w:val="Heading1"/>
      </w:pPr>
      <w:r>
        <w:t>4. Persistence and Serialization Review</w:t>
      </w:r>
    </w:p>
    <w:p>
      <w:pPr>
        <w:pStyle w:val="Heading2"/>
      </w:pPr>
      <w:r>
        <w:t>4.1 Current design</w:t>
      </w:r>
    </w:p>
    <w:p>
      <w:pPr>
        <w:pStyle w:val="CodeBlock"/>
      </w:pPr>
      <w:r>
        <w:t>AppDataStore state</w:t>
        <w:br/>
        <w:t xml:space="preserve">  ↓ snapshot</w:t>
        <w:br/>
        <w:t>AppDataSnapshot (Codable)</w:t>
        <w:br/>
        <w:t xml:space="preserve">  ↓ JSONEncoder</w:t>
        <w:br/>
        <w:t>pps-field-manager-data.json</w:t>
        <w:br/>
        <w:t xml:space="preserve">  ↓ atomic write</w:t>
        <w:br/>
        <w:t>Application Documents directory</w:t>
      </w:r>
    </w:p>
    <w:p>
      <w:pPr>
        <w:pStyle w:val="Heading2"/>
      </w:pPr>
      <w:r>
        <w:t>4.2 What should remain</w:t>
      </w:r>
    </w:p>
    <w:p>
      <w:pPr>
        <w:pStyle w:val="ListBullet"/>
      </w:pPr>
      <w:r>
        <w:t>Local JSON storage is understandable, portable, and sufficient for V1.0 single-device use.</w:t>
      </w:r>
    </w:p>
    <w:p>
      <w:pPr>
        <w:pStyle w:val="ListBullet"/>
      </w:pPr>
      <w:r>
        <w:t>Atomic writes reduce the chance of a partially written file replacing a valid snapshot.</w:t>
      </w:r>
    </w:p>
    <w:p>
      <w:pPr>
        <w:pStyle w:val="ListBullet"/>
      </w:pPr>
      <w:r>
        <w:t>Custom decoding defaults in JobRecord, ServiceLineItem, ServiceCatalogItem, BusinessProfile, and AppDataSnapshot protect older files as fields are added.</w:t>
      </w:r>
    </w:p>
    <w:p>
      <w:pPr>
        <w:pStyle w:val="Heading2"/>
      </w:pPr>
      <w:r>
        <w:t>4.3 Gaps and risks</w:t>
      </w:r>
    </w:p>
    <w:tbl>
      <w:tblPr>
        <w:tblStyle w:val="TableGrid"/>
        <w:tblW w:type="auto" w:w="0"/>
        <w:jc w:val="center"/>
        <w:tblLook w:firstColumn="1" w:firstRow="1" w:lastColumn="0" w:lastRow="0" w:noHBand="0" w:noVBand="1" w:val="04A0"/>
      </w:tblPr>
      <w:tblGrid>
        <w:gridCol w:w="3408"/>
        <w:gridCol w:w="3408"/>
        <w:gridCol w:w="3408"/>
      </w:tblGrid>
      <w:tr>
        <w:tc>
          <w:tcPr>
            <w:tcW w:type="dxa" w:w="3528"/>
            <w:vAlign w:val="center"/>
            <w:shd w:fill="18324A"/>
          </w:tcPr>
          <w:p>
            <w:r/>
            <w:r>
              <w:rPr>
                <w:b/>
                <w:color w:val="FFFFFF"/>
                <w:sz w:val="18"/>
              </w:rPr>
              <w:t>Finding</w:t>
            </w:r>
          </w:p>
        </w:tc>
        <w:tc>
          <w:tcPr>
            <w:tcW w:type="dxa" w:w="5472"/>
            <w:vAlign w:val="center"/>
            <w:shd w:fill="18324A"/>
          </w:tcPr>
          <w:p>
            <w:r/>
            <w:r>
              <w:rPr>
                <w:b/>
                <w:color w:val="FFFFFF"/>
                <w:sz w:val="18"/>
              </w:rPr>
              <w:t>Impact</w:t>
            </w:r>
          </w:p>
        </w:tc>
        <w:tc>
          <w:tcPr>
            <w:tcW w:type="dxa" w:w="1152"/>
            <w:vAlign w:val="center"/>
            <w:shd w:fill="18324A"/>
          </w:tcPr>
          <w:p>
            <w:r/>
            <w:r>
              <w:rPr>
                <w:b/>
                <w:color w:val="FFFFFF"/>
                <w:sz w:val="18"/>
              </w:rPr>
              <w:t>Priority</w:t>
            </w:r>
          </w:p>
        </w:tc>
      </w:tr>
      <w:tr>
        <w:tc>
          <w:tcPr>
            <w:tcW w:type="dxa" w:w="3528"/>
            <w:vAlign w:val="center"/>
          </w:tcPr>
          <w:p>
            <w:r/>
            <w:r>
              <w:rPr>
                <w:b w:val="0"/>
                <w:sz w:val="17"/>
              </w:rPr>
              <w:t>No schemaVersion in the persisted envelope</w:t>
            </w:r>
          </w:p>
        </w:tc>
        <w:tc>
          <w:tcPr>
            <w:tcW w:type="dxa" w:w="5472"/>
            <w:vAlign w:val="center"/>
          </w:tcPr>
          <w:p>
            <w:r/>
            <w:r>
              <w:rPr>
                <w:b w:val="0"/>
                <w:sz w:val="17"/>
              </w:rPr>
              <w:t>Migrations are distributed across model decoders and cannot be audited centrally.</w:t>
            </w:r>
          </w:p>
        </w:tc>
        <w:tc>
          <w:tcPr>
            <w:tcW w:type="dxa" w:w="1152"/>
            <w:vAlign w:val="center"/>
          </w:tcPr>
          <w:p>
            <w:r/>
            <w:r>
              <w:rPr>
                <w:b w:val="0"/>
                <w:sz w:val="17"/>
              </w:rPr>
              <w:t>High</w:t>
            </w:r>
          </w:p>
        </w:tc>
      </w:tr>
      <w:tr>
        <w:tc>
          <w:tcPr>
            <w:tcW w:type="dxa" w:w="3528"/>
            <w:vAlign w:val="center"/>
          </w:tcPr>
          <w:p>
            <w:r/>
            <w:r>
              <w:rPr>
                <w:b w:val="0"/>
                <w:sz w:val="17"/>
              </w:rPr>
              <w:t>No backup/last-known-good file</w:t>
            </w:r>
          </w:p>
        </w:tc>
        <w:tc>
          <w:tcPr>
            <w:tcW w:type="dxa" w:w="5472"/>
            <w:vAlign w:val="center"/>
          </w:tcPr>
          <w:p>
            <w:r/>
            <w:r>
              <w:rPr>
                <w:b w:val="0"/>
                <w:sz w:val="17"/>
              </w:rPr>
              <w:t>A corrupt primary file can make the complete dataset unavailable.</w:t>
            </w:r>
          </w:p>
        </w:tc>
        <w:tc>
          <w:tcPr>
            <w:tcW w:type="dxa" w:w="1152"/>
            <w:vAlign w:val="center"/>
          </w:tcPr>
          <w:p>
            <w:r/>
            <w:r>
              <w:rPr>
                <w:b w:val="0"/>
                <w:sz w:val="17"/>
              </w:rPr>
              <w:t>High</w:t>
            </w:r>
          </w:p>
        </w:tc>
      </w:tr>
      <w:tr>
        <w:tc>
          <w:tcPr>
            <w:tcW w:type="dxa" w:w="3528"/>
            <w:vAlign w:val="center"/>
          </w:tcPr>
          <w:p>
            <w:r/>
            <w:r>
              <w:rPr>
                <w:b w:val="0"/>
                <w:sz w:val="17"/>
              </w:rPr>
              <w:t>No load/save state surfaced to UI</w:t>
            </w:r>
          </w:p>
        </w:tc>
        <w:tc>
          <w:tcPr>
            <w:tcW w:type="dxa" w:w="5472"/>
            <w:vAlign w:val="center"/>
          </w:tcPr>
          <w:p>
            <w:r/>
            <w:r>
              <w:rPr>
                <w:b w:val="0"/>
                <w:sz w:val="17"/>
              </w:rPr>
              <w:t>Persistence failure can remain invisible until data is lost or missing.</w:t>
            </w:r>
          </w:p>
        </w:tc>
        <w:tc>
          <w:tcPr>
            <w:tcW w:type="dxa" w:w="1152"/>
            <w:vAlign w:val="center"/>
          </w:tcPr>
          <w:p>
            <w:r/>
            <w:r>
              <w:rPr>
                <w:b w:val="0"/>
                <w:sz w:val="17"/>
              </w:rPr>
              <w:t>High</w:t>
            </w:r>
          </w:p>
        </w:tc>
      </w:tr>
      <w:tr>
        <w:tc>
          <w:tcPr>
            <w:tcW w:type="dxa" w:w="3528"/>
            <w:vAlign w:val="center"/>
          </w:tcPr>
          <w:p>
            <w:r/>
            <w:r>
              <w:rPr>
                <w:b w:val="0"/>
                <w:sz w:val="17"/>
              </w:rPr>
              <w:t>Full snapshot written after each mutation</w:t>
            </w:r>
          </w:p>
        </w:tc>
        <w:tc>
          <w:tcPr>
            <w:tcW w:type="dxa" w:w="5472"/>
            <w:vAlign w:val="center"/>
          </w:tcPr>
          <w:p>
            <w:r/>
            <w:r>
              <w:rPr>
                <w:b w:val="0"/>
                <w:sz w:val="17"/>
              </w:rPr>
              <w:t>Performance and flash-write cost grow with dataset size.</w:t>
            </w:r>
          </w:p>
        </w:tc>
        <w:tc>
          <w:tcPr>
            <w:tcW w:type="dxa" w:w="1152"/>
            <w:vAlign w:val="center"/>
          </w:tcPr>
          <w:p>
            <w:r/>
            <w:r>
              <w:rPr>
                <w:b w:val="0"/>
                <w:sz w:val="17"/>
              </w:rPr>
              <w:t>Medium</w:t>
            </w:r>
          </w:p>
        </w:tc>
      </w:tr>
      <w:tr>
        <w:tc>
          <w:tcPr>
            <w:tcW w:type="dxa" w:w="3528"/>
            <w:vAlign w:val="center"/>
          </w:tcPr>
          <w:p>
            <w:r/>
            <w:r>
              <w:rPr>
                <w:b w:val="0"/>
                <w:sz w:val="17"/>
              </w:rPr>
              <w:t>Synchronous encoding and file I/O</w:t>
            </w:r>
          </w:p>
        </w:tc>
        <w:tc>
          <w:tcPr>
            <w:tcW w:type="dxa" w:w="5472"/>
            <w:vAlign w:val="center"/>
          </w:tcPr>
          <w:p>
            <w:r/>
            <w:r>
              <w:rPr>
                <w:b w:val="0"/>
                <w:sz w:val="17"/>
              </w:rPr>
              <w:t>Large datasets can eventually block the UI thread.</w:t>
            </w:r>
          </w:p>
        </w:tc>
        <w:tc>
          <w:tcPr>
            <w:tcW w:type="dxa" w:w="1152"/>
            <w:vAlign w:val="center"/>
          </w:tcPr>
          <w:p>
            <w:r/>
            <w:r>
              <w:rPr>
                <w:b w:val="0"/>
                <w:sz w:val="17"/>
              </w:rPr>
              <w:t>Medium</w:t>
            </w:r>
          </w:p>
        </w:tc>
      </w:tr>
      <w:tr>
        <w:tc>
          <w:tcPr>
            <w:tcW w:type="dxa" w:w="3528"/>
            <w:vAlign w:val="center"/>
          </w:tcPr>
          <w:p>
            <w:r/>
            <w:r>
              <w:rPr>
                <w:b w:val="0"/>
                <w:sz w:val="17"/>
              </w:rPr>
              <w:t>Documents directory chosen without explicit backup policy</w:t>
            </w:r>
          </w:p>
        </w:tc>
        <w:tc>
          <w:tcPr>
            <w:tcW w:type="dxa" w:w="5472"/>
            <w:vAlign w:val="center"/>
          </w:tcPr>
          <w:p>
            <w:r/>
            <w:r>
              <w:rPr>
                <w:b w:val="0"/>
                <w:sz w:val="17"/>
              </w:rPr>
              <w:t>Operational backup behavior is not documented.</w:t>
            </w:r>
          </w:p>
        </w:tc>
        <w:tc>
          <w:tcPr>
            <w:tcW w:type="dxa" w:w="1152"/>
            <w:vAlign w:val="center"/>
          </w:tcPr>
          <w:p>
            <w:r/>
            <w:r>
              <w:rPr>
                <w:b w:val="0"/>
                <w:sz w:val="17"/>
              </w:rPr>
              <w:t>Medium</w:t>
            </w:r>
          </w:p>
        </w:tc>
      </w:tr>
      <w:tr>
        <w:tc>
          <w:tcPr>
            <w:tcW w:type="dxa" w:w="3528"/>
            <w:vAlign w:val="center"/>
          </w:tcPr>
          <w:p>
            <w:r/>
            <w:r>
              <w:rPr>
                <w:b w:val="0"/>
                <w:sz w:val="17"/>
              </w:rPr>
              <w:t>Some snapshot keys are required while newer keys are optional</w:t>
            </w:r>
          </w:p>
        </w:tc>
        <w:tc>
          <w:tcPr>
            <w:tcW w:type="dxa" w:w="5472"/>
            <w:vAlign w:val="center"/>
          </w:tcPr>
          <w:p>
            <w:r/>
            <w:r>
              <w:rPr>
                <w:b w:val="0"/>
                <w:sz w:val="17"/>
              </w:rPr>
              <w:t>Very old or partially migrated files may fail wholesale.</w:t>
            </w:r>
          </w:p>
        </w:tc>
        <w:tc>
          <w:tcPr>
            <w:tcW w:type="dxa" w:w="1152"/>
            <w:vAlign w:val="center"/>
          </w:tcPr>
          <w:p>
            <w:r/>
            <w:r>
              <w:rPr>
                <w:b w:val="0"/>
                <w:sz w:val="17"/>
              </w:rPr>
              <w:t>Medium</w:t>
            </w:r>
          </w:p>
        </w:tc>
      </w:tr>
    </w:tbl>
    <w:p>
      <w:pPr>
        <w:spacing w:after="0"/>
      </w:pPr>
    </w:p>
    <w:p>
      <w:pPr>
        <w:pStyle w:val="Heading2"/>
      </w:pPr>
      <w:r>
        <w:t>4.4 Serialization policy recommendation</w:t>
      </w:r>
    </w:p>
    <w:p>
      <w:pPr>
        <w:pStyle w:val="ListBullet"/>
      </w:pPr>
      <w:r>
        <w:t>Add a top-level schemaVersion and savedAt timestamp to AppDataSnapshot.</w:t>
      </w:r>
    </w:p>
    <w:p>
      <w:pPr>
        <w:pStyle w:val="ListBullet"/>
      </w:pPr>
      <w:r>
        <w:t>Centralize migration steps in a persistence layer; keep model-level default decoding for additive compatibility.</w:t>
      </w:r>
    </w:p>
    <w:p>
      <w:pPr>
        <w:pStyle w:val="ListBullet"/>
      </w:pPr>
      <w:r>
        <w:t>Before replacing the primary file, retain one last-known-good backup and validate that newly encoded data can be decoded.</w:t>
      </w:r>
    </w:p>
    <w:p>
      <w:pPr>
        <w:pStyle w:val="ListBullet"/>
      </w:pPr>
      <w:r>
        <w:t>Use a loading flag or suspendedAutosave guard so load does not trigger writes.</w:t>
      </w:r>
    </w:p>
    <w:p>
      <w:pPr>
        <w:pStyle w:val="ListBullet"/>
      </w:pPr>
      <w:r>
        <w:t>Debounce or coalesce writes and flush explicitly at lifecycle boundaries.</w:t>
      </w:r>
    </w:p>
    <w:p>
      <w:pPr>
        <w:pStyle w:val="Heading1"/>
      </w:pPr>
      <w:r>
        <w:t>5. Domain Models and Ownership</w:t>
      </w:r>
    </w:p>
    <w:p>
      <w:pPr>
        <w:pStyle w:val="Heading2"/>
      </w:pPr>
      <w:r>
        <w:t>5.1 Current domain map</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872"/>
            <w:vAlign w:val="center"/>
            <w:shd w:fill="18324A"/>
          </w:tcPr>
          <w:p>
            <w:r/>
            <w:r>
              <w:rPr>
                <w:b/>
                <w:color w:val="FFFFFF"/>
                <w:sz w:val="18"/>
              </w:rPr>
              <w:t>Domain</w:t>
            </w:r>
          </w:p>
        </w:tc>
        <w:tc>
          <w:tcPr>
            <w:tcW w:type="dxa" w:w="3168"/>
            <w:vAlign w:val="center"/>
            <w:shd w:fill="18324A"/>
          </w:tcPr>
          <w:p>
            <w:r/>
            <w:r>
              <w:rPr>
                <w:b/>
                <w:color w:val="FFFFFF"/>
                <w:sz w:val="18"/>
              </w:rPr>
              <w:t>Primary records</w:t>
            </w:r>
          </w:p>
        </w:tc>
        <w:tc>
          <w:tcPr>
            <w:tcW w:type="dxa" w:w="2592"/>
            <w:vAlign w:val="center"/>
            <w:shd w:fill="18324A"/>
          </w:tcPr>
          <w:p>
            <w:r/>
            <w:r>
              <w:rPr>
                <w:b/>
                <w:color w:val="FFFFFF"/>
                <w:sz w:val="18"/>
              </w:rPr>
              <w:t>Current persisted owner</w:t>
            </w:r>
          </w:p>
        </w:tc>
        <w:tc>
          <w:tcPr>
            <w:tcW w:type="dxa" w:w="3024"/>
            <w:vAlign w:val="center"/>
            <w:shd w:fill="18324A"/>
          </w:tcPr>
          <w:p>
            <w:r/>
            <w:r>
              <w:rPr>
                <w:b/>
                <w:color w:val="FFFFFF"/>
                <w:sz w:val="18"/>
              </w:rPr>
              <w:t>Recommended long-term owner</w:t>
            </w:r>
          </w:p>
        </w:tc>
      </w:tr>
      <w:tr>
        <w:tc>
          <w:tcPr>
            <w:tcW w:type="dxa" w:w="1872"/>
            <w:vAlign w:val="center"/>
          </w:tcPr>
          <w:p>
            <w:r/>
            <w:r>
              <w:rPr>
                <w:b w:val="0"/>
                <w:sz w:val="17"/>
              </w:rPr>
              <w:t>Customer</w:t>
            </w:r>
          </w:p>
        </w:tc>
        <w:tc>
          <w:tcPr>
            <w:tcW w:type="dxa" w:w="3168"/>
            <w:vAlign w:val="center"/>
          </w:tcPr>
          <w:p>
            <w:r/>
            <w:r>
              <w:rPr>
                <w:b w:val="0"/>
                <w:sz w:val="17"/>
              </w:rPr>
              <w:t>Customer, CustomerSite</w:t>
            </w:r>
          </w:p>
        </w:tc>
        <w:tc>
          <w:tcPr>
            <w:tcW w:type="dxa" w:w="2592"/>
            <w:vAlign w:val="center"/>
          </w:tcPr>
          <w:p>
            <w:r/>
            <w:r>
              <w:rPr>
                <w:b w:val="0"/>
                <w:sz w:val="17"/>
              </w:rPr>
              <w:t>AppDataStore</w:t>
            </w:r>
          </w:p>
        </w:tc>
        <w:tc>
          <w:tcPr>
            <w:tcW w:type="dxa" w:w="3024"/>
            <w:vAlign w:val="center"/>
          </w:tcPr>
          <w:p>
            <w:r/>
            <w:r>
              <w:rPr>
                <w:b w:val="0"/>
                <w:sz w:val="17"/>
              </w:rPr>
              <w:t>CustomerStore</w:t>
            </w:r>
          </w:p>
        </w:tc>
      </w:tr>
      <w:tr>
        <w:tc>
          <w:tcPr>
            <w:tcW w:type="dxa" w:w="1872"/>
            <w:vAlign w:val="center"/>
          </w:tcPr>
          <w:p>
            <w:r/>
            <w:r>
              <w:rPr>
                <w:b w:val="0"/>
                <w:sz w:val="17"/>
              </w:rPr>
              <w:t>Sales</w:t>
            </w:r>
          </w:p>
        </w:tc>
        <w:tc>
          <w:tcPr>
            <w:tcW w:type="dxa" w:w="3168"/>
            <w:vAlign w:val="center"/>
          </w:tcPr>
          <w:p>
            <w:r/>
            <w:r>
              <w:rPr>
                <w:b w:val="0"/>
                <w:sz w:val="17"/>
              </w:rPr>
              <w:t>Lead, EstimateRecord</w:t>
            </w:r>
          </w:p>
        </w:tc>
        <w:tc>
          <w:tcPr>
            <w:tcW w:type="dxa" w:w="2592"/>
            <w:vAlign w:val="center"/>
          </w:tcPr>
          <w:p>
            <w:r/>
            <w:r>
              <w:rPr>
                <w:b w:val="0"/>
                <w:sz w:val="17"/>
              </w:rPr>
              <w:t>AppDataStore</w:t>
            </w:r>
          </w:p>
        </w:tc>
        <w:tc>
          <w:tcPr>
            <w:tcW w:type="dxa" w:w="3024"/>
            <w:vAlign w:val="center"/>
          </w:tcPr>
          <w:p>
            <w:r/>
            <w:r>
              <w:rPr>
                <w:b w:val="0"/>
                <w:sz w:val="17"/>
              </w:rPr>
              <w:t>SalesStore / EstimateStore</w:t>
            </w:r>
          </w:p>
        </w:tc>
      </w:tr>
      <w:tr>
        <w:tc>
          <w:tcPr>
            <w:tcW w:type="dxa" w:w="1872"/>
            <w:vAlign w:val="center"/>
          </w:tcPr>
          <w:p>
            <w:r/>
            <w:r>
              <w:rPr>
                <w:b w:val="0"/>
                <w:sz w:val="17"/>
              </w:rPr>
              <w:t>Field operations</w:t>
            </w:r>
          </w:p>
        </w:tc>
        <w:tc>
          <w:tcPr>
            <w:tcW w:type="dxa" w:w="3168"/>
            <w:vAlign w:val="center"/>
          </w:tcPr>
          <w:p>
            <w:r/>
            <w:r>
              <w:rPr>
                <w:b w:val="0"/>
                <w:sz w:val="17"/>
              </w:rPr>
              <w:t>JobRecord, JobTimelineEvent</w:t>
            </w:r>
          </w:p>
        </w:tc>
        <w:tc>
          <w:tcPr>
            <w:tcW w:type="dxa" w:w="2592"/>
            <w:vAlign w:val="center"/>
          </w:tcPr>
          <w:p>
            <w:r/>
            <w:r>
              <w:rPr>
                <w:b w:val="0"/>
                <w:sz w:val="17"/>
              </w:rPr>
              <w:t>AppDataStore</w:t>
            </w:r>
          </w:p>
        </w:tc>
        <w:tc>
          <w:tcPr>
            <w:tcW w:type="dxa" w:w="3024"/>
            <w:vAlign w:val="center"/>
          </w:tcPr>
          <w:p>
            <w:r/>
            <w:r>
              <w:rPr>
                <w:b w:val="0"/>
                <w:sz w:val="17"/>
              </w:rPr>
              <w:t>JobStore</w:t>
            </w:r>
          </w:p>
        </w:tc>
      </w:tr>
      <w:tr>
        <w:tc>
          <w:tcPr>
            <w:tcW w:type="dxa" w:w="1872"/>
            <w:vAlign w:val="center"/>
          </w:tcPr>
          <w:p>
            <w:r/>
            <w:r>
              <w:rPr>
                <w:b w:val="0"/>
                <w:sz w:val="17"/>
              </w:rPr>
              <w:t>Billing</w:t>
            </w:r>
          </w:p>
        </w:tc>
        <w:tc>
          <w:tcPr>
            <w:tcW w:type="dxa" w:w="3168"/>
            <w:vAlign w:val="center"/>
          </w:tcPr>
          <w:p>
            <w:r/>
            <w:r>
              <w:rPr>
                <w:b w:val="0"/>
                <w:sz w:val="17"/>
              </w:rPr>
              <w:t>InvoiceRecord</w:t>
            </w:r>
          </w:p>
        </w:tc>
        <w:tc>
          <w:tcPr>
            <w:tcW w:type="dxa" w:w="2592"/>
            <w:vAlign w:val="center"/>
          </w:tcPr>
          <w:p>
            <w:r/>
            <w:r>
              <w:rPr>
                <w:b w:val="0"/>
                <w:sz w:val="17"/>
              </w:rPr>
              <w:t>AppDataStore</w:t>
            </w:r>
          </w:p>
        </w:tc>
        <w:tc>
          <w:tcPr>
            <w:tcW w:type="dxa" w:w="3024"/>
            <w:vAlign w:val="center"/>
          </w:tcPr>
          <w:p>
            <w:r/>
            <w:r>
              <w:rPr>
                <w:b w:val="0"/>
                <w:sz w:val="17"/>
              </w:rPr>
              <w:t>InvoiceStore</w:t>
            </w:r>
          </w:p>
        </w:tc>
      </w:tr>
      <w:tr>
        <w:tc>
          <w:tcPr>
            <w:tcW w:type="dxa" w:w="1872"/>
            <w:vAlign w:val="center"/>
          </w:tcPr>
          <w:p>
            <w:r/>
            <w:r>
              <w:rPr>
                <w:b w:val="0"/>
                <w:sz w:val="17"/>
              </w:rPr>
              <w:t>Catalog</w:t>
            </w:r>
          </w:p>
        </w:tc>
        <w:tc>
          <w:tcPr>
            <w:tcW w:type="dxa" w:w="3168"/>
            <w:vAlign w:val="center"/>
          </w:tcPr>
          <w:p>
            <w:r/>
            <w:r>
              <w:rPr>
                <w:b w:val="0"/>
                <w:sz w:val="17"/>
              </w:rPr>
              <w:t>ServiceCatalogItem, ServiceLineItem</w:t>
            </w:r>
          </w:p>
        </w:tc>
        <w:tc>
          <w:tcPr>
            <w:tcW w:type="dxa" w:w="2592"/>
            <w:vAlign w:val="center"/>
          </w:tcPr>
          <w:p>
            <w:r/>
            <w:r>
              <w:rPr>
                <w:b w:val="0"/>
                <w:sz w:val="17"/>
              </w:rPr>
              <w:t>AppDataStore / embedded copies</w:t>
            </w:r>
          </w:p>
        </w:tc>
        <w:tc>
          <w:tcPr>
            <w:tcW w:type="dxa" w:w="3024"/>
            <w:vAlign w:val="center"/>
          </w:tcPr>
          <w:p>
            <w:r/>
            <w:r>
              <w:rPr>
                <w:b w:val="0"/>
                <w:sz w:val="17"/>
              </w:rPr>
              <w:t>CatalogStore</w:t>
            </w:r>
          </w:p>
        </w:tc>
      </w:tr>
      <w:tr>
        <w:tc>
          <w:tcPr>
            <w:tcW w:type="dxa" w:w="1872"/>
            <w:vAlign w:val="center"/>
          </w:tcPr>
          <w:p>
            <w:r/>
            <w:r>
              <w:rPr>
                <w:b w:val="0"/>
                <w:sz w:val="17"/>
              </w:rPr>
              <w:t>Workforce</w:t>
            </w:r>
          </w:p>
        </w:tc>
        <w:tc>
          <w:tcPr>
            <w:tcW w:type="dxa" w:w="3168"/>
            <w:vAlign w:val="center"/>
          </w:tcPr>
          <w:p>
            <w:r/>
            <w:r>
              <w:rPr>
                <w:b w:val="0"/>
                <w:sz w:val="17"/>
              </w:rPr>
              <w:t>EmployeeRecord</w:t>
            </w:r>
          </w:p>
        </w:tc>
        <w:tc>
          <w:tcPr>
            <w:tcW w:type="dxa" w:w="2592"/>
            <w:vAlign w:val="center"/>
          </w:tcPr>
          <w:p>
            <w:r/>
            <w:r>
              <w:rPr>
                <w:b w:val="0"/>
                <w:sz w:val="17"/>
              </w:rPr>
              <w:t>AppDataStore</w:t>
            </w:r>
          </w:p>
        </w:tc>
        <w:tc>
          <w:tcPr>
            <w:tcW w:type="dxa" w:w="3024"/>
            <w:vAlign w:val="center"/>
          </w:tcPr>
          <w:p>
            <w:r/>
            <w:r>
              <w:rPr>
                <w:b w:val="0"/>
                <w:sz w:val="17"/>
              </w:rPr>
              <w:t>EmployeeStore</w:t>
            </w:r>
          </w:p>
        </w:tc>
      </w:tr>
      <w:tr>
        <w:tc>
          <w:tcPr>
            <w:tcW w:type="dxa" w:w="1872"/>
            <w:vAlign w:val="center"/>
          </w:tcPr>
          <w:p>
            <w:r/>
            <w:r>
              <w:rPr>
                <w:b w:val="0"/>
                <w:sz w:val="17"/>
              </w:rPr>
              <w:t>Business settings</w:t>
            </w:r>
          </w:p>
        </w:tc>
        <w:tc>
          <w:tcPr>
            <w:tcW w:type="dxa" w:w="3168"/>
            <w:vAlign w:val="center"/>
          </w:tcPr>
          <w:p>
            <w:r/>
            <w:r>
              <w:rPr>
                <w:b w:val="0"/>
                <w:sz w:val="17"/>
              </w:rPr>
              <w:t>BusinessProfile, BusinessOperationsSettings</w:t>
            </w:r>
          </w:p>
        </w:tc>
        <w:tc>
          <w:tcPr>
            <w:tcW w:type="dxa" w:w="2592"/>
            <w:vAlign w:val="center"/>
          </w:tcPr>
          <w:p>
            <w:r/>
            <w:r>
              <w:rPr>
                <w:b w:val="0"/>
                <w:sz w:val="17"/>
              </w:rPr>
              <w:t>AppDataStore</w:t>
            </w:r>
          </w:p>
        </w:tc>
        <w:tc>
          <w:tcPr>
            <w:tcW w:type="dxa" w:w="3024"/>
            <w:vAlign w:val="center"/>
          </w:tcPr>
          <w:p>
            <w:r/>
            <w:r>
              <w:rPr>
                <w:b w:val="0"/>
                <w:sz w:val="17"/>
              </w:rPr>
              <w:t>SettingsStore</w:t>
            </w:r>
          </w:p>
        </w:tc>
      </w:tr>
      <w:tr>
        <w:tc>
          <w:tcPr>
            <w:tcW w:type="dxa" w:w="1872"/>
            <w:vAlign w:val="center"/>
          </w:tcPr>
          <w:p>
            <w:r/>
            <w:r>
              <w:rPr>
                <w:b w:val="0"/>
                <w:sz w:val="17"/>
              </w:rPr>
              <w:t>Recommendations</w:t>
            </w:r>
          </w:p>
        </w:tc>
        <w:tc>
          <w:tcPr>
            <w:tcW w:type="dxa" w:w="3168"/>
            <w:vAlign w:val="center"/>
          </w:tcPr>
          <w:p>
            <w:r/>
            <w:r>
              <w:rPr>
                <w:b w:val="0"/>
                <w:sz w:val="17"/>
              </w:rPr>
              <w:t>RecommendationRule</w:t>
            </w:r>
          </w:p>
        </w:tc>
        <w:tc>
          <w:tcPr>
            <w:tcW w:type="dxa" w:w="2592"/>
            <w:vAlign w:val="center"/>
          </w:tcPr>
          <w:p>
            <w:r/>
            <w:r>
              <w:rPr>
                <w:b w:val="0"/>
                <w:sz w:val="17"/>
              </w:rPr>
              <w:t>AppDataStore</w:t>
            </w:r>
          </w:p>
        </w:tc>
        <w:tc>
          <w:tcPr>
            <w:tcW w:type="dxa" w:w="3024"/>
            <w:vAlign w:val="center"/>
          </w:tcPr>
          <w:p>
            <w:r/>
            <w:r>
              <w:rPr>
                <w:b w:val="0"/>
                <w:sz w:val="17"/>
              </w:rPr>
              <w:t>RecommendationRuleStore</w:t>
            </w:r>
          </w:p>
        </w:tc>
      </w:tr>
    </w:tbl>
    <w:p>
      <w:pPr>
        <w:spacing w:after="0"/>
      </w:pPr>
    </w:p>
    <w:p>
      <w:pPr>
        <w:pStyle w:val="Heading2"/>
      </w:pPr>
      <w:r>
        <w:t>5.2 Ownership rules</w:t>
      </w:r>
    </w:p>
    <w:p>
      <w:pPr>
        <w:pStyle w:val="ListBullet"/>
      </w:pPr>
      <w:r>
        <w:t>A domain store owns creation, validation, mutation, archive/restore, and lookup of its aggregate roots.</w:t>
      </w:r>
    </w:p>
    <w:p>
      <w:pPr>
        <w:pStyle w:val="ListBullet"/>
      </w:pPr>
      <w:r>
        <w:t>Embedded line items on estimates, jobs, and invoices are transaction snapshots. They should remain owned by the parent document, not dynamically resolved from the catalog.</w:t>
      </w:r>
    </w:p>
    <w:p>
      <w:pPr>
        <w:pStyle w:val="ListBullet"/>
      </w:pPr>
      <w:r>
        <w:t>The catalog owns reusable templates and usage ranking, not historical pricing on existing documents.</w:t>
      </w:r>
    </w:p>
    <w:p>
      <w:pPr>
        <w:pStyle w:val="ListBullet"/>
      </w:pPr>
      <w:r>
        <w:t>AppDataStore should ultimately coordinate workflows spanning more than one domain without duplicating domain rules.</w:t>
      </w:r>
    </w:p>
    <w:p>
      <w:pPr>
        <w:pStyle w:val="ListBullet"/>
      </w:pPr>
      <w:r>
        <w:t>Engines should calculate decisions and transitions; stores should commit those results to persisted state.</w:t>
      </w:r>
    </w:p>
    <w:p>
      <w:pPr>
        <w:pStyle w:val="Heading1"/>
      </w:pPr>
      <w:r>
        <w:t>6. State Ownership Review</w:t>
      </w:r>
    </w:p>
    <w:p>
      <w:pPr>
        <w:pStyle w:val="Heading2"/>
      </w:pPr>
      <w:r>
        <w:t>6.1 Current pattern</w:t>
      </w:r>
    </w:p>
    <w:p>
      <w:pPr>
        <w:pStyle w:val="CodeBlock"/>
      </w:pPr>
      <w:r>
        <w:t>@main App</w:t>
        <w:br/>
        <w:t xml:space="preserve">  └─ @StateObject AppDataStore</w:t>
        <w:br/>
        <w:t xml:space="preserve">       └─ .environmentObject(store)</w:t>
        <w:br/>
        <w:t xml:space="preserve">            ├─ Customer views</w:t>
        <w:br/>
        <w:t xml:space="preserve">            ├─ Sales and estimate views</w:t>
        <w:br/>
        <w:t xml:space="preserve">            ├─ Job and technician views</w:t>
        <w:br/>
        <w:t xml:space="preserve">            ├─ Invoice views</w:t>
        <w:br/>
        <w:t xml:space="preserve">            └─ Administration and settings views</w:t>
      </w:r>
    </w:p>
    <w:p>
      <w:r>
        <w:t>This is the correct ownership pattern for the current application. The production app has one long-lived observable store. Local @State is used for editor drafts and display-specific collections, which is also appropriate.</w:t>
      </w:r>
    </w:p>
    <w:p>
      <w:pPr>
        <w:pStyle w:val="Heading2"/>
      </w:pPr>
      <w:r>
        <w:t>6.2 Recommended boundary</w:t>
      </w:r>
    </w:p>
    <w:tbl>
      <w:tblPr>
        <w:tblStyle w:val="TableGrid"/>
        <w:tblW w:type="auto" w:w="0"/>
        <w:jc w:val="center"/>
        <w:tblLook w:firstColumn="1" w:firstRow="1" w:lastColumn="0" w:lastRow="0" w:noHBand="0" w:noVBand="1" w:val="04A0"/>
      </w:tblPr>
      <w:tblGrid>
        <w:gridCol w:w="10224"/>
      </w:tblGrid>
      <w:tr>
        <w:tc>
          <w:tcPr>
            <w:tcW w:type="dxa" w:w="10224"/>
            <w:shd w:fill="EAF2F8"/>
          </w:tcPr>
          <w:p>
            <w:r/>
            <w:r>
              <w:rPr>
                <w:b/>
                <w:color w:val="18324A"/>
              </w:rPr>
              <w:t xml:space="preserve">Rule  </w:t>
            </w:r>
            <w:r>
              <w:t>Views may own temporary editing state. Persisted records are committed only through store commands. Derived dashboards and filtered lists are computed from store data and must not become independent sources of truth.</w:t>
            </w:r>
          </w:p>
        </w:tc>
      </w:tr>
    </w:tbl>
    <w:p>
      <w:pPr>
        <w:spacing w:after="0"/>
      </w:pPr>
    </w:p>
    <w:p>
      <w:pPr>
        <w:pStyle w:val="ListBullet"/>
      </w:pPr>
      <w:r>
        <w:t>Change persisted collections to private(set) when practical, then expose explicit commands and query methods.</w:t>
      </w:r>
    </w:p>
    <w:p>
      <w:pPr>
        <w:pStyle w:val="ListBullet"/>
      </w:pPr>
      <w:r>
        <w:t>Mark AppDataStore @MainActor to make observable-state mutation rules explicit.</w:t>
      </w:r>
    </w:p>
    <w:p>
      <w:pPr>
        <w:pStyle w:val="ListBullet"/>
      </w:pPr>
      <w:r>
        <w:t>Do not persist transient routing, selection, alert, or sheet state in AppDataStore.</w:t>
      </w:r>
    </w:p>
    <w:p>
      <w:pPr>
        <w:pStyle w:val="ListBullet"/>
      </w:pPr>
      <w:r>
        <w:t>Keep preview-only AppDataStore instances isolated to previews/tests.</w:t>
      </w:r>
    </w:p>
    <w:p>
      <w:pPr>
        <w:pStyle w:val="Heading1"/>
      </w:pPr>
      <w:r>
        <w:t>7. Record Numbering Review</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440"/>
            <w:vAlign w:val="center"/>
            <w:shd w:fill="18324A"/>
          </w:tcPr>
          <w:p>
            <w:r/>
            <w:r>
              <w:rPr>
                <w:b/>
                <w:color w:val="FFFFFF"/>
                <w:sz w:val="18"/>
              </w:rPr>
              <w:t>Record</w:t>
            </w:r>
          </w:p>
        </w:tc>
        <w:tc>
          <w:tcPr>
            <w:tcW w:type="dxa" w:w="2376"/>
            <w:vAlign w:val="center"/>
            <w:shd w:fill="18324A"/>
          </w:tcPr>
          <w:p>
            <w:r/>
            <w:r>
              <w:rPr>
                <w:b/>
                <w:color w:val="FFFFFF"/>
                <w:sz w:val="18"/>
              </w:rPr>
              <w:t>Current format</w:t>
            </w:r>
          </w:p>
        </w:tc>
        <w:tc>
          <w:tcPr>
            <w:tcW w:type="dxa" w:w="2592"/>
            <w:vAlign w:val="center"/>
            <w:shd w:fill="18324A"/>
          </w:tcPr>
          <w:p>
            <w:r/>
            <w:r>
              <w:rPr>
                <w:b/>
                <w:color w:val="FFFFFF"/>
                <w:sz w:val="18"/>
              </w:rPr>
              <w:t>Sequence owner today</w:t>
            </w:r>
          </w:p>
        </w:tc>
        <w:tc>
          <w:tcPr>
            <w:tcW w:type="dxa" w:w="4176"/>
            <w:vAlign w:val="center"/>
            <w:shd w:fill="18324A"/>
          </w:tcPr>
          <w:p>
            <w:r/>
            <w:r>
              <w:rPr>
                <w:b/>
                <w:color w:val="FFFFFF"/>
                <w:sz w:val="18"/>
              </w:rPr>
              <w:t>Finding</w:t>
            </w:r>
          </w:p>
        </w:tc>
      </w:tr>
      <w:tr>
        <w:tc>
          <w:tcPr>
            <w:tcW w:type="dxa" w:w="1440"/>
            <w:vAlign w:val="center"/>
          </w:tcPr>
          <w:p>
            <w:r/>
            <w:r>
              <w:rPr>
                <w:b w:val="0"/>
                <w:sz w:val="17"/>
              </w:rPr>
              <w:t>Customer</w:t>
            </w:r>
          </w:p>
        </w:tc>
        <w:tc>
          <w:tcPr>
            <w:tcW w:type="dxa" w:w="2376"/>
            <w:vAlign w:val="center"/>
          </w:tcPr>
          <w:p>
            <w:r/>
            <w:r>
              <w:rPr>
                <w:b w:val="0"/>
                <w:sz w:val="17"/>
              </w:rPr>
              <w:t>PPS-000001</w:t>
            </w:r>
          </w:p>
        </w:tc>
        <w:tc>
          <w:tcPr>
            <w:tcW w:type="dxa" w:w="2592"/>
            <w:vAlign w:val="center"/>
          </w:tcPr>
          <w:p>
            <w:r/>
            <w:r>
              <w:rPr>
                <w:b w:val="0"/>
                <w:sz w:val="17"/>
              </w:rPr>
              <w:t>nextCustomerNumber</w:t>
            </w:r>
          </w:p>
        </w:tc>
        <w:tc>
          <w:tcPr>
            <w:tcW w:type="dxa" w:w="4176"/>
            <w:vAlign w:val="center"/>
          </w:tcPr>
          <w:p>
            <w:r/>
            <w:r>
              <w:rPr>
                <w:b w:val="0"/>
                <w:sz w:val="17"/>
              </w:rPr>
              <w:t>Global monotonic customer sequence.</w:t>
            </w:r>
          </w:p>
        </w:tc>
      </w:tr>
      <w:tr>
        <w:tc>
          <w:tcPr>
            <w:tcW w:type="dxa" w:w="1440"/>
            <w:vAlign w:val="center"/>
          </w:tcPr>
          <w:p>
            <w:r/>
            <w:r>
              <w:rPr>
                <w:b w:val="0"/>
                <w:sz w:val="17"/>
              </w:rPr>
              <w:t>Lead</w:t>
            </w:r>
          </w:p>
        </w:tc>
        <w:tc>
          <w:tcPr>
            <w:tcW w:type="dxa" w:w="2376"/>
            <w:vAlign w:val="center"/>
          </w:tcPr>
          <w:p>
            <w:r/>
            <w:r>
              <w:rPr>
                <w:b w:val="0"/>
                <w:sz w:val="17"/>
              </w:rPr>
              <w:t>LD-yyMM-00001</w:t>
            </w:r>
          </w:p>
        </w:tc>
        <w:tc>
          <w:tcPr>
            <w:tcW w:type="dxa" w:w="2592"/>
            <w:vAlign w:val="center"/>
          </w:tcPr>
          <w:p>
            <w:r/>
            <w:r>
              <w:rPr>
                <w:b w:val="0"/>
                <w:sz w:val="17"/>
              </w:rPr>
              <w:t>recordSequencesByMonth</w:t>
            </w:r>
          </w:p>
        </w:tc>
        <w:tc>
          <w:tcPr>
            <w:tcW w:type="dxa" w:w="4176"/>
            <w:vAlign w:val="center"/>
          </w:tcPr>
          <w:p>
            <w:r/>
            <w:r>
              <w:rPr>
                <w:b w:val="0"/>
                <w:sz w:val="17"/>
              </w:rPr>
              <w:t>Monthly sequence by prefix.</w:t>
            </w:r>
          </w:p>
        </w:tc>
      </w:tr>
      <w:tr>
        <w:tc>
          <w:tcPr>
            <w:tcW w:type="dxa" w:w="1440"/>
            <w:vAlign w:val="center"/>
          </w:tcPr>
          <w:p>
            <w:r/>
            <w:r>
              <w:rPr>
                <w:b w:val="0"/>
                <w:sz w:val="17"/>
              </w:rPr>
              <w:t>Estimate</w:t>
            </w:r>
          </w:p>
        </w:tc>
        <w:tc>
          <w:tcPr>
            <w:tcW w:type="dxa" w:w="2376"/>
            <w:vAlign w:val="center"/>
          </w:tcPr>
          <w:p>
            <w:r/>
            <w:r>
              <w:rPr>
                <w:b w:val="0"/>
                <w:sz w:val="17"/>
              </w:rPr>
              <w:t>EST-yyMM-00001</w:t>
            </w:r>
          </w:p>
        </w:tc>
        <w:tc>
          <w:tcPr>
            <w:tcW w:type="dxa" w:w="2592"/>
            <w:vAlign w:val="center"/>
          </w:tcPr>
          <w:p>
            <w:r/>
            <w:r>
              <w:rPr>
                <w:b w:val="0"/>
                <w:sz w:val="17"/>
              </w:rPr>
              <w:t>recordSequencesByMonth</w:t>
            </w:r>
          </w:p>
        </w:tc>
        <w:tc>
          <w:tcPr>
            <w:tcW w:type="dxa" w:w="4176"/>
            <w:vAlign w:val="center"/>
          </w:tcPr>
          <w:p>
            <w:r/>
            <w:r>
              <w:rPr>
                <w:b w:val="0"/>
                <w:sz w:val="17"/>
              </w:rPr>
              <w:t>Monthly sequence by prefix.</w:t>
            </w:r>
          </w:p>
        </w:tc>
      </w:tr>
      <w:tr>
        <w:tc>
          <w:tcPr>
            <w:tcW w:type="dxa" w:w="1440"/>
            <w:vAlign w:val="center"/>
          </w:tcPr>
          <w:p>
            <w:r/>
            <w:r>
              <w:rPr>
                <w:b w:val="0"/>
                <w:sz w:val="17"/>
              </w:rPr>
              <w:t>Job</w:t>
            </w:r>
          </w:p>
        </w:tc>
        <w:tc>
          <w:tcPr>
            <w:tcW w:type="dxa" w:w="2376"/>
            <w:vAlign w:val="center"/>
          </w:tcPr>
          <w:p>
            <w:r/>
            <w:r>
              <w:rPr>
                <w:b w:val="0"/>
                <w:sz w:val="17"/>
              </w:rPr>
              <w:t>JOB-yyMM-00001</w:t>
            </w:r>
          </w:p>
        </w:tc>
        <w:tc>
          <w:tcPr>
            <w:tcW w:type="dxa" w:w="2592"/>
            <w:vAlign w:val="center"/>
          </w:tcPr>
          <w:p>
            <w:r/>
            <w:r>
              <w:rPr>
                <w:b w:val="0"/>
                <w:sz w:val="17"/>
              </w:rPr>
              <w:t>recordSequencesByMonth</w:t>
            </w:r>
          </w:p>
        </w:tc>
        <w:tc>
          <w:tcPr>
            <w:tcW w:type="dxa" w:w="4176"/>
            <w:vAlign w:val="center"/>
          </w:tcPr>
          <w:p>
            <w:r/>
            <w:r>
              <w:rPr>
                <w:b w:val="0"/>
                <w:sz w:val="17"/>
              </w:rPr>
              <w:t>Monthly sequence by prefix.</w:t>
            </w:r>
          </w:p>
        </w:tc>
      </w:tr>
      <w:tr>
        <w:tc>
          <w:tcPr>
            <w:tcW w:type="dxa" w:w="1440"/>
            <w:vAlign w:val="center"/>
          </w:tcPr>
          <w:p>
            <w:r/>
            <w:r>
              <w:rPr>
                <w:b w:val="0"/>
                <w:sz w:val="17"/>
              </w:rPr>
              <w:t>Invoice</w:t>
            </w:r>
          </w:p>
        </w:tc>
        <w:tc>
          <w:tcPr>
            <w:tcW w:type="dxa" w:w="2376"/>
            <w:vAlign w:val="center"/>
          </w:tcPr>
          <w:p>
            <w:r/>
            <w:r>
              <w:rPr>
                <w:b w:val="0"/>
                <w:sz w:val="17"/>
              </w:rPr>
              <w:t>INV-yyMM-00001</w:t>
            </w:r>
          </w:p>
        </w:tc>
        <w:tc>
          <w:tcPr>
            <w:tcW w:type="dxa" w:w="2592"/>
            <w:vAlign w:val="center"/>
          </w:tcPr>
          <w:p>
            <w:r/>
            <w:r>
              <w:rPr>
                <w:b w:val="0"/>
                <w:sz w:val="17"/>
              </w:rPr>
              <w:t>recordSequencesByMonth</w:t>
            </w:r>
          </w:p>
        </w:tc>
        <w:tc>
          <w:tcPr>
            <w:tcW w:type="dxa" w:w="4176"/>
            <w:vAlign w:val="center"/>
          </w:tcPr>
          <w:p>
            <w:r/>
            <w:r>
              <w:rPr>
                <w:b w:val="0"/>
                <w:sz w:val="17"/>
              </w:rPr>
              <w:t>Monthly sequence by prefix.</w:t>
            </w:r>
          </w:p>
        </w:tc>
      </w:tr>
      <w:tr>
        <w:tc>
          <w:tcPr>
            <w:tcW w:type="dxa" w:w="1440"/>
            <w:vAlign w:val="center"/>
          </w:tcPr>
          <w:p>
            <w:r/>
            <w:r>
              <w:rPr>
                <w:b w:val="0"/>
                <w:sz w:val="17"/>
              </w:rPr>
              <w:t>Receipt</w:t>
            </w:r>
          </w:p>
        </w:tc>
        <w:tc>
          <w:tcPr>
            <w:tcW w:type="dxa" w:w="2376"/>
            <w:vAlign w:val="center"/>
          </w:tcPr>
          <w:p>
            <w:r/>
            <w:r>
              <w:rPr>
                <w:b w:val="0"/>
                <w:sz w:val="17"/>
              </w:rPr>
              <w:t>RCT-yyMM-00001</w:t>
            </w:r>
          </w:p>
        </w:tc>
        <w:tc>
          <w:tcPr>
            <w:tcW w:type="dxa" w:w="2592"/>
            <w:vAlign w:val="center"/>
          </w:tcPr>
          <w:p>
            <w:r/>
            <w:r>
              <w:rPr>
                <w:b w:val="0"/>
                <w:sz w:val="17"/>
              </w:rPr>
              <w:t>recordSequencesByMonth</w:t>
            </w:r>
          </w:p>
        </w:tc>
        <w:tc>
          <w:tcPr>
            <w:tcW w:type="dxa" w:w="4176"/>
            <w:vAlign w:val="center"/>
          </w:tcPr>
          <w:p>
            <w:r/>
            <w:r>
              <w:rPr>
                <w:b w:val="0"/>
                <w:sz w:val="17"/>
              </w:rPr>
              <w:t>Monthly sequence by prefix.</w:t>
            </w:r>
          </w:p>
        </w:tc>
      </w:tr>
    </w:tbl>
    <w:p>
      <w:pPr>
        <w:spacing w:after="0"/>
      </w:pPr>
    </w:p>
    <w:p>
      <w:pPr>
        <w:pStyle w:val="Heading2"/>
      </w:pPr>
      <w:r>
        <w:t>7.1 Strengths</w:t>
      </w:r>
    </w:p>
    <w:p>
      <w:pPr>
        <w:pStyle w:val="ListBullet"/>
      </w:pPr>
      <w:r>
        <w:t>Numbers are readable and useful in the field, on documents, and during customer support.</w:t>
      </w:r>
    </w:p>
    <w:p>
      <w:pPr>
        <w:pStyle w:val="ListBullet"/>
      </w:pPr>
      <w:r>
        <w:t>Sequences are persisted, so normal app restarts do not reuse numbers.</w:t>
      </w:r>
    </w:p>
    <w:p>
      <w:pPr>
        <w:pStyle w:val="ListBullet"/>
      </w:pPr>
      <w:r>
        <w:t>Each prefix has an independent monthly counter.</w:t>
      </w:r>
    </w:p>
    <w:p>
      <w:pPr>
        <w:pStyle w:val="Heading2"/>
      </w:pPr>
      <w:r>
        <w:t>7.2 Risks and policy decisions</w:t>
      </w:r>
    </w:p>
    <w:p>
      <w:pPr>
        <w:pStyle w:val="ListBullet"/>
      </w:pPr>
      <w:r>
        <w:t>Generating a number increments and saves before the record is necessarily committed. Cancelled drafts can create gaps. Gaps are acceptable if documented; reuse should not be attempted.</w:t>
      </w:r>
    </w:p>
    <w:p>
      <w:pPr>
        <w:pStyle w:val="ListBullet"/>
      </w:pPr>
      <w:r>
        <w:t>The month key depends on DateFormatter defaults for calendar, locale, and time zone. Define POSIX locale, Gregorian calendar, and the business time zone for deterministic behavior.</w:t>
      </w:r>
    </w:p>
    <w:p>
      <w:pPr>
        <w:pStyle w:val="ListBullet"/>
      </w:pPr>
      <w:r>
        <w:t>Single-device JSON storage cannot coordinate numbers across multiple devices or merged datasets. Multi-device sync will require a server-assigned or collision-resistant strategy.</w:t>
      </w:r>
    </w:p>
    <w:p>
      <w:pPr>
        <w:pStyle w:val="ListBullet"/>
      </w:pPr>
      <w:r>
        <w:t>Business numbers are used as relationship keys in several places. They must be immutable after creation and uniqueness should be validated on load and before insert.</w:t>
      </w:r>
    </w:p>
    <w:p>
      <w:pPr>
        <w:pStyle w:val="Heading1"/>
      </w:pPr>
      <w:r>
        <w:t>8. Data Relationships Review</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088"/>
            <w:vAlign w:val="center"/>
            <w:shd w:fill="18324A"/>
          </w:tcPr>
          <w:p>
            <w:r/>
            <w:r>
              <w:rPr>
                <w:b/>
                <w:color w:val="FFFFFF"/>
                <w:sz w:val="18"/>
              </w:rPr>
              <w:t>From</w:t>
            </w:r>
          </w:p>
        </w:tc>
        <w:tc>
          <w:tcPr>
            <w:tcW w:type="dxa" w:w="3024"/>
            <w:vAlign w:val="center"/>
            <w:shd w:fill="18324A"/>
          </w:tcPr>
          <w:p>
            <w:r/>
            <w:r>
              <w:rPr>
                <w:b/>
                <w:color w:val="FFFFFF"/>
                <w:sz w:val="18"/>
              </w:rPr>
              <w:t>Relationship field</w:t>
            </w:r>
          </w:p>
        </w:tc>
        <w:tc>
          <w:tcPr>
            <w:tcW w:type="dxa" w:w="2376"/>
            <w:vAlign w:val="center"/>
            <w:shd w:fill="18324A"/>
          </w:tcPr>
          <w:p>
            <w:r/>
            <w:r>
              <w:rPr>
                <w:b/>
                <w:color w:val="FFFFFF"/>
                <w:sz w:val="18"/>
              </w:rPr>
              <w:t>To</w:t>
            </w:r>
          </w:p>
        </w:tc>
        <w:tc>
          <w:tcPr>
            <w:tcW w:type="dxa" w:w="3456"/>
            <w:vAlign w:val="center"/>
            <w:shd w:fill="18324A"/>
          </w:tcPr>
          <w:p>
            <w:r/>
            <w:r>
              <w:rPr>
                <w:b/>
                <w:color w:val="FFFFFF"/>
                <w:sz w:val="18"/>
              </w:rPr>
              <w:t>Assessment</w:t>
            </w:r>
          </w:p>
        </w:tc>
      </w:tr>
      <w:tr>
        <w:tc>
          <w:tcPr>
            <w:tcW w:type="dxa" w:w="2088"/>
            <w:vAlign w:val="center"/>
          </w:tcPr>
          <w:p>
            <w:r/>
            <w:r>
              <w:rPr>
                <w:b w:val="0"/>
                <w:sz w:val="17"/>
              </w:rPr>
              <w:t>CustomerSite</w:t>
            </w:r>
          </w:p>
        </w:tc>
        <w:tc>
          <w:tcPr>
            <w:tcW w:type="dxa" w:w="3024"/>
            <w:vAlign w:val="center"/>
          </w:tcPr>
          <w:p>
            <w:r/>
            <w:r>
              <w:rPr>
                <w:b w:val="0"/>
                <w:sz w:val="17"/>
              </w:rPr>
              <w:t>customerNumber</w:t>
            </w:r>
          </w:p>
        </w:tc>
        <w:tc>
          <w:tcPr>
            <w:tcW w:type="dxa" w:w="2376"/>
            <w:vAlign w:val="center"/>
          </w:tcPr>
          <w:p>
            <w:r/>
            <w:r>
              <w:rPr>
                <w:b w:val="0"/>
                <w:sz w:val="17"/>
              </w:rPr>
              <w:t>Customer</w:t>
            </w:r>
          </w:p>
        </w:tc>
        <w:tc>
          <w:tcPr>
            <w:tcW w:type="dxa" w:w="3456"/>
            <w:vAlign w:val="center"/>
          </w:tcPr>
          <w:p>
            <w:r/>
            <w:r>
              <w:rPr>
                <w:b w:val="0"/>
                <w:sz w:val="17"/>
              </w:rPr>
              <w:t>Readable, but uses mutable string key instead of UUID.</w:t>
            </w:r>
          </w:p>
        </w:tc>
      </w:tr>
      <w:tr>
        <w:tc>
          <w:tcPr>
            <w:tcW w:type="dxa" w:w="2088"/>
            <w:vAlign w:val="center"/>
          </w:tcPr>
          <w:p>
            <w:r/>
            <w:r>
              <w:rPr>
                <w:b w:val="0"/>
                <w:sz w:val="17"/>
              </w:rPr>
              <w:t>EstimateRecord</w:t>
            </w:r>
          </w:p>
        </w:tc>
        <w:tc>
          <w:tcPr>
            <w:tcW w:type="dxa" w:w="3024"/>
            <w:vAlign w:val="center"/>
          </w:tcPr>
          <w:p>
            <w:r/>
            <w:r>
              <w:rPr>
                <w:b w:val="0"/>
                <w:sz w:val="17"/>
              </w:rPr>
              <w:t>leadNumber</w:t>
            </w:r>
          </w:p>
        </w:tc>
        <w:tc>
          <w:tcPr>
            <w:tcW w:type="dxa" w:w="2376"/>
            <w:vAlign w:val="center"/>
          </w:tcPr>
          <w:p>
            <w:r/>
            <w:r>
              <w:rPr>
                <w:b w:val="0"/>
                <w:sz w:val="17"/>
              </w:rPr>
              <w:t>Lead</w:t>
            </w:r>
          </w:p>
        </w:tc>
        <w:tc>
          <w:tcPr>
            <w:tcW w:type="dxa" w:w="3456"/>
            <w:vAlign w:val="center"/>
          </w:tcPr>
          <w:p>
            <w:r/>
            <w:r>
              <w:rPr>
                <w:b w:val="0"/>
                <w:sz w:val="17"/>
              </w:rPr>
              <w:t>Optional business lineage represented as string.</w:t>
            </w:r>
          </w:p>
        </w:tc>
      </w:tr>
      <w:tr>
        <w:tc>
          <w:tcPr>
            <w:tcW w:type="dxa" w:w="2088"/>
            <w:vAlign w:val="center"/>
          </w:tcPr>
          <w:p>
            <w:r/>
            <w:r>
              <w:rPr>
                <w:b w:val="0"/>
                <w:sz w:val="17"/>
              </w:rPr>
              <w:t>EstimateRecord</w:t>
            </w:r>
          </w:p>
        </w:tc>
        <w:tc>
          <w:tcPr>
            <w:tcW w:type="dxa" w:w="3024"/>
            <w:vAlign w:val="center"/>
          </w:tcPr>
          <w:p>
            <w:r/>
            <w:r>
              <w:rPr>
                <w:b w:val="0"/>
                <w:sz w:val="17"/>
              </w:rPr>
              <w:t>customerNumber / siteID</w:t>
            </w:r>
          </w:p>
        </w:tc>
        <w:tc>
          <w:tcPr>
            <w:tcW w:type="dxa" w:w="2376"/>
            <w:vAlign w:val="center"/>
          </w:tcPr>
          <w:p>
            <w:r/>
            <w:r>
              <w:rPr>
                <w:b w:val="0"/>
                <w:sz w:val="17"/>
              </w:rPr>
              <w:t>Customer / CustomerSite</w:t>
            </w:r>
          </w:p>
        </w:tc>
        <w:tc>
          <w:tcPr>
            <w:tcW w:type="dxa" w:w="3456"/>
            <w:vAlign w:val="center"/>
          </w:tcPr>
          <w:p>
            <w:r/>
            <w:r>
              <w:rPr>
                <w:b w:val="0"/>
                <w:sz w:val="17"/>
              </w:rPr>
              <w:t>Mixed business number and UUID.</w:t>
            </w:r>
          </w:p>
        </w:tc>
      </w:tr>
      <w:tr>
        <w:tc>
          <w:tcPr>
            <w:tcW w:type="dxa" w:w="2088"/>
            <w:vAlign w:val="center"/>
          </w:tcPr>
          <w:p>
            <w:r/>
            <w:r>
              <w:rPr>
                <w:b w:val="0"/>
                <w:sz w:val="17"/>
              </w:rPr>
              <w:t>JobRecord</w:t>
            </w:r>
          </w:p>
        </w:tc>
        <w:tc>
          <w:tcPr>
            <w:tcW w:type="dxa" w:w="3024"/>
            <w:vAlign w:val="center"/>
          </w:tcPr>
          <w:p>
            <w:r/>
            <w:r>
              <w:rPr>
                <w:b w:val="0"/>
                <w:sz w:val="17"/>
              </w:rPr>
              <w:t>estimateNumber</w:t>
            </w:r>
          </w:p>
        </w:tc>
        <w:tc>
          <w:tcPr>
            <w:tcW w:type="dxa" w:w="2376"/>
            <w:vAlign w:val="center"/>
          </w:tcPr>
          <w:p>
            <w:r/>
            <w:r>
              <w:rPr>
                <w:b w:val="0"/>
                <w:sz w:val="17"/>
              </w:rPr>
              <w:t>EstimateRecord</w:t>
            </w:r>
          </w:p>
        </w:tc>
        <w:tc>
          <w:tcPr>
            <w:tcW w:type="dxa" w:w="3456"/>
            <w:vAlign w:val="center"/>
          </w:tcPr>
          <w:p>
            <w:r/>
            <w:r>
              <w:rPr>
                <w:b w:val="0"/>
                <w:sz w:val="17"/>
              </w:rPr>
              <w:t>Business-number foreign key.</w:t>
            </w:r>
          </w:p>
        </w:tc>
      </w:tr>
      <w:tr>
        <w:tc>
          <w:tcPr>
            <w:tcW w:type="dxa" w:w="2088"/>
            <w:vAlign w:val="center"/>
          </w:tcPr>
          <w:p>
            <w:r/>
            <w:r>
              <w:rPr>
                <w:b w:val="0"/>
                <w:sz w:val="17"/>
              </w:rPr>
              <w:t>JobRecord</w:t>
            </w:r>
          </w:p>
        </w:tc>
        <w:tc>
          <w:tcPr>
            <w:tcW w:type="dxa" w:w="3024"/>
            <w:vAlign w:val="center"/>
          </w:tcPr>
          <w:p>
            <w:r/>
            <w:r>
              <w:rPr>
                <w:b w:val="0"/>
                <w:sz w:val="17"/>
              </w:rPr>
              <w:t>customerNumber / siteID</w:t>
            </w:r>
          </w:p>
        </w:tc>
        <w:tc>
          <w:tcPr>
            <w:tcW w:type="dxa" w:w="2376"/>
            <w:vAlign w:val="center"/>
          </w:tcPr>
          <w:p>
            <w:r/>
            <w:r>
              <w:rPr>
                <w:b w:val="0"/>
                <w:sz w:val="17"/>
              </w:rPr>
              <w:t>Customer / CustomerSite</w:t>
            </w:r>
          </w:p>
        </w:tc>
        <w:tc>
          <w:tcPr>
            <w:tcW w:type="dxa" w:w="3456"/>
            <w:vAlign w:val="center"/>
          </w:tcPr>
          <w:p>
            <w:r/>
            <w:r>
              <w:rPr>
                <w:b w:val="0"/>
                <w:sz w:val="17"/>
              </w:rPr>
              <w:t>Mixed identity convention.</w:t>
            </w:r>
          </w:p>
        </w:tc>
      </w:tr>
      <w:tr>
        <w:tc>
          <w:tcPr>
            <w:tcW w:type="dxa" w:w="2088"/>
            <w:vAlign w:val="center"/>
          </w:tcPr>
          <w:p>
            <w:r/>
            <w:r>
              <w:rPr>
                <w:b w:val="0"/>
                <w:sz w:val="17"/>
              </w:rPr>
              <w:t>JobRecord</w:t>
            </w:r>
          </w:p>
        </w:tc>
        <w:tc>
          <w:tcPr>
            <w:tcW w:type="dxa" w:w="3024"/>
            <w:vAlign w:val="center"/>
          </w:tcPr>
          <w:p>
            <w:r/>
            <w:r>
              <w:rPr>
                <w:b w:val="0"/>
                <w:sz w:val="17"/>
              </w:rPr>
              <w:t>primaryTechnicianID / secondaryTechnicianID</w:t>
            </w:r>
          </w:p>
        </w:tc>
        <w:tc>
          <w:tcPr>
            <w:tcW w:type="dxa" w:w="2376"/>
            <w:vAlign w:val="center"/>
          </w:tcPr>
          <w:p>
            <w:r/>
            <w:r>
              <w:rPr>
                <w:b w:val="0"/>
                <w:sz w:val="17"/>
              </w:rPr>
              <w:t>EmployeeRecord</w:t>
            </w:r>
          </w:p>
        </w:tc>
        <w:tc>
          <w:tcPr>
            <w:tcW w:type="dxa" w:w="3456"/>
            <w:vAlign w:val="center"/>
          </w:tcPr>
          <w:p>
            <w:r/>
            <w:r>
              <w:rPr>
                <w:b w:val="0"/>
                <w:sz w:val="17"/>
              </w:rPr>
              <w:t>Strong UUID relationship.</w:t>
            </w:r>
          </w:p>
        </w:tc>
      </w:tr>
      <w:tr>
        <w:tc>
          <w:tcPr>
            <w:tcW w:type="dxa" w:w="2088"/>
            <w:vAlign w:val="center"/>
          </w:tcPr>
          <w:p>
            <w:r/>
            <w:r>
              <w:rPr>
                <w:b w:val="0"/>
                <w:sz w:val="17"/>
              </w:rPr>
              <w:t>InvoiceRecord</w:t>
            </w:r>
          </w:p>
        </w:tc>
        <w:tc>
          <w:tcPr>
            <w:tcW w:type="dxa" w:w="3024"/>
            <w:vAlign w:val="center"/>
          </w:tcPr>
          <w:p>
            <w:r/>
            <w:r>
              <w:rPr>
                <w:b w:val="0"/>
                <w:sz w:val="17"/>
              </w:rPr>
              <w:t>jobNumber</w:t>
            </w:r>
          </w:p>
        </w:tc>
        <w:tc>
          <w:tcPr>
            <w:tcW w:type="dxa" w:w="2376"/>
            <w:vAlign w:val="center"/>
          </w:tcPr>
          <w:p>
            <w:r/>
            <w:r>
              <w:rPr>
                <w:b w:val="0"/>
                <w:sz w:val="17"/>
              </w:rPr>
              <w:t>JobRecord</w:t>
            </w:r>
          </w:p>
        </w:tc>
        <w:tc>
          <w:tcPr>
            <w:tcW w:type="dxa" w:w="3456"/>
            <w:vAlign w:val="center"/>
          </w:tcPr>
          <w:p>
            <w:r/>
            <w:r>
              <w:rPr>
                <w:b w:val="0"/>
                <w:sz w:val="17"/>
              </w:rPr>
              <w:t>Business-number foreign key.</w:t>
            </w:r>
          </w:p>
        </w:tc>
      </w:tr>
      <w:tr>
        <w:tc>
          <w:tcPr>
            <w:tcW w:type="dxa" w:w="2088"/>
            <w:vAlign w:val="center"/>
          </w:tcPr>
          <w:p>
            <w:r/>
            <w:r>
              <w:rPr>
                <w:b w:val="0"/>
                <w:sz w:val="17"/>
              </w:rPr>
              <w:t>ServiceLineItem</w:t>
            </w:r>
          </w:p>
        </w:tc>
        <w:tc>
          <w:tcPr>
            <w:tcW w:type="dxa" w:w="3024"/>
            <w:vAlign w:val="center"/>
          </w:tcPr>
          <w:p>
            <w:r/>
            <w:r>
              <w:rPr>
                <w:b w:val="0"/>
                <w:sz w:val="17"/>
              </w:rPr>
              <w:t>catalogItemID</w:t>
            </w:r>
          </w:p>
        </w:tc>
        <w:tc>
          <w:tcPr>
            <w:tcW w:type="dxa" w:w="2376"/>
            <w:vAlign w:val="center"/>
          </w:tcPr>
          <w:p>
            <w:r/>
            <w:r>
              <w:rPr>
                <w:b w:val="0"/>
                <w:sz w:val="17"/>
              </w:rPr>
              <w:t>ServiceCatalogItem</w:t>
            </w:r>
          </w:p>
        </w:tc>
        <w:tc>
          <w:tcPr>
            <w:tcW w:type="dxa" w:w="3456"/>
            <w:vAlign w:val="center"/>
          </w:tcPr>
          <w:p>
            <w:r/>
            <w:r>
              <w:rPr>
                <w:b w:val="0"/>
                <w:sz w:val="17"/>
              </w:rPr>
              <w:t>Optional provenance link with embedded snapshot values.</w:t>
            </w:r>
          </w:p>
        </w:tc>
      </w:tr>
      <w:tr>
        <w:tc>
          <w:tcPr>
            <w:tcW w:type="dxa" w:w="2088"/>
            <w:vAlign w:val="center"/>
          </w:tcPr>
          <w:p>
            <w:r/>
            <w:r>
              <w:rPr>
                <w:b w:val="0"/>
                <w:sz w:val="17"/>
              </w:rPr>
              <w:t>Customer / Lead / Estimate</w:t>
            </w:r>
          </w:p>
        </w:tc>
        <w:tc>
          <w:tcPr>
            <w:tcW w:type="dxa" w:w="3024"/>
            <w:vAlign w:val="center"/>
          </w:tcPr>
          <w:p>
            <w:r/>
            <w:r>
              <w:rPr>
                <w:b w:val="0"/>
                <w:sz w:val="17"/>
              </w:rPr>
              <w:t>assignedEmployee / salesperson names</w:t>
            </w:r>
          </w:p>
        </w:tc>
        <w:tc>
          <w:tcPr>
            <w:tcW w:type="dxa" w:w="2376"/>
            <w:vAlign w:val="center"/>
          </w:tcPr>
          <w:p>
            <w:r/>
            <w:r>
              <w:rPr>
                <w:b w:val="0"/>
                <w:sz w:val="17"/>
              </w:rPr>
              <w:t>EmployeeRecord</w:t>
            </w:r>
          </w:p>
        </w:tc>
        <w:tc>
          <w:tcPr>
            <w:tcW w:type="dxa" w:w="3456"/>
            <w:vAlign w:val="center"/>
          </w:tcPr>
          <w:p>
            <w:r/>
            <w:r>
              <w:rPr>
                <w:b w:val="0"/>
                <w:sz w:val="17"/>
              </w:rPr>
              <w:t>Weak relationship; names can change or collide.</w:t>
            </w:r>
          </w:p>
        </w:tc>
      </w:tr>
    </w:tbl>
    <w:p>
      <w:pPr>
        <w:spacing w:after="0"/>
      </w:pPr>
    </w:p>
    <w:p>
      <w:pPr>
        <w:pStyle w:val="Heading2"/>
      </w:pPr>
      <w:r>
        <w:t>8.1 Relationship recommendation</w:t>
      </w:r>
    </w:p>
    <w:p>
      <w:pPr>
        <w:pStyle w:val="ListBullet"/>
      </w:pPr>
      <w:r>
        <w:t>Preserve human-readable numbers as immutable alternate keys for display and document lookup.</w:t>
      </w:r>
    </w:p>
    <w:p>
      <w:pPr>
        <w:pStyle w:val="ListBullet"/>
      </w:pPr>
      <w:r>
        <w:t>For new relationship fields, prefer UUID references as canonical foreign keys.</w:t>
      </w:r>
    </w:p>
    <w:p>
      <w:pPr>
        <w:pStyle w:val="ListBullet"/>
      </w:pPr>
      <w:r>
        <w:t>Migrate salesperson/assignedEmployee string fields toward EmployeeRecord UUIDs, retaining a display-name snapshot only where historical presentation requires it.</w:t>
      </w:r>
    </w:p>
    <w:p>
      <w:pPr>
        <w:pStyle w:val="ListBullet"/>
      </w:pPr>
      <w:r>
        <w:t>Do not normalize line items out of estimates, jobs, or invoices. Their copied description, quantity, and price preserve historical truth when the catalog changes.</w:t>
      </w:r>
    </w:p>
    <w:p>
      <w:pPr>
        <w:pStyle w:val="ListBullet"/>
      </w:pPr>
      <w:r>
        <w:t>Add referential-integrity validation that reports orphaned customer, site, estimate, job, employee, and catalog references without deleting data automatically.</w:t>
      </w:r>
    </w:p>
    <w:p>
      <w:pPr>
        <w:pStyle w:val="Heading1"/>
      </w:pPr>
      <w:r>
        <w:t>9. Domain Ownership Diagram</w:t>
      </w:r>
    </w:p>
    <w:p>
      <w:r>
        <w:t>Recommended target after V1.0. AppDataStore remains the application-facing façade while ownership moves behind clear domain boundaries.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10225"/>
            <w:gridSpan w:val="5"/>
            <w:shd w:fill="18324A"/>
            <w:vAlign w:val="center"/>
          </w:tcPr>
          <w:p>
            <w:r/>
            <w:r>
              <w:rPr>
                <w:b/>
                <w:color w:val="FFFFFF"/>
                <w:sz w:val="20"/>
              </w:rPr>
              <w:t>AppDataStore — Application Façade / Cross-Domain Coordinator</w:t>
            </w:r>
          </w:p>
        </w:tc>
      </w:tr>
      <w:tr>
        <w:tc>
          <w:tcPr>
            <w:tcW w:type="dxa" w:w="10225"/>
            <w:gridSpan w:val="5"/>
            <w:shd w:fill="FFFFFF"/>
            <w:vAlign w:val="center"/>
          </w:tcPr>
          <w:p>
            <w:pPr>
              <w:jc w:val="center"/>
            </w:pPr>
            <w:r/>
            <w:r>
              <w:rPr>
                <w:b w:val="0"/>
                <w:sz w:val="17"/>
              </w:rPr>
              <w:t>↓ delegates commands and queries; does not own persistence mechanics</w:t>
            </w:r>
          </w:p>
        </w:tc>
      </w:tr>
      <w:tr>
        <w:tc>
          <w:tcPr>
            <w:tcW w:type="dxa" w:w="2045"/>
            <w:shd w:fill="EAF2F8"/>
            <w:vAlign w:val="center"/>
          </w:tcPr>
          <w:p>
            <w:r/>
            <w:r>
              <w:rPr>
                <w:b/>
                <w:color w:val="18324A"/>
                <w:sz w:val="18"/>
              </w:rPr>
              <w:t>CustomerStore</w:t>
            </w:r>
          </w:p>
        </w:tc>
        <w:tc>
          <w:tcPr>
            <w:tcW w:type="dxa" w:w="2045"/>
            <w:shd w:fill="EAF2F8"/>
            <w:vAlign w:val="center"/>
          </w:tcPr>
          <w:p>
            <w:r/>
            <w:r>
              <w:rPr>
                <w:b/>
                <w:color w:val="18324A"/>
                <w:sz w:val="18"/>
              </w:rPr>
              <w:t>SalesStore</w:t>
            </w:r>
          </w:p>
        </w:tc>
        <w:tc>
          <w:tcPr>
            <w:tcW w:type="dxa" w:w="2045"/>
            <w:shd w:fill="EAF2F8"/>
            <w:vAlign w:val="center"/>
          </w:tcPr>
          <w:p>
            <w:r/>
            <w:r>
              <w:rPr>
                <w:b/>
                <w:color w:val="18324A"/>
                <w:sz w:val="18"/>
              </w:rPr>
              <w:t>JobStore</w:t>
            </w:r>
          </w:p>
        </w:tc>
        <w:tc>
          <w:tcPr>
            <w:tcW w:type="dxa" w:w="2045"/>
            <w:shd w:fill="EAF2F8"/>
            <w:vAlign w:val="center"/>
          </w:tcPr>
          <w:p>
            <w:r/>
            <w:r>
              <w:rPr>
                <w:b/>
                <w:color w:val="18324A"/>
                <w:sz w:val="18"/>
              </w:rPr>
              <w:t>InvoiceStore</w:t>
            </w:r>
          </w:p>
        </w:tc>
        <w:tc>
          <w:tcPr>
            <w:tcW w:type="dxa" w:w="2045"/>
            <w:shd w:fill="EAF2F8"/>
            <w:vAlign w:val="center"/>
          </w:tcPr>
          <w:p>
            <w:r/>
            <w:r>
              <w:rPr>
                <w:b/>
                <w:color w:val="18324A"/>
                <w:sz w:val="18"/>
              </w:rPr>
              <w:t>EmployeeStore</w:t>
            </w:r>
          </w:p>
        </w:tc>
      </w:tr>
      <w:tr>
        <w:tc>
          <w:tcPr>
            <w:tcW w:type="dxa" w:w="2045"/>
            <w:shd w:fill="FFFFFF"/>
            <w:vAlign w:val="center"/>
          </w:tcPr>
          <w:p>
            <w:r/>
            <w:r>
              <w:rPr>
                <w:b w:val="0"/>
                <w:sz w:val="17"/>
              </w:rPr>
              <w:t>Customers</w:t>
              <w:br/>
              <w:t>Sites</w:t>
            </w:r>
          </w:p>
        </w:tc>
        <w:tc>
          <w:tcPr>
            <w:tcW w:type="dxa" w:w="2045"/>
            <w:shd w:fill="FFFFFF"/>
            <w:vAlign w:val="center"/>
          </w:tcPr>
          <w:p>
            <w:r/>
            <w:r>
              <w:rPr>
                <w:b w:val="0"/>
                <w:sz w:val="17"/>
              </w:rPr>
              <w:t>Leads</w:t>
              <w:br/>
              <w:t>Estimates</w:t>
            </w:r>
          </w:p>
        </w:tc>
        <w:tc>
          <w:tcPr>
            <w:tcW w:type="dxa" w:w="2045"/>
            <w:shd w:fill="FFFFFF"/>
            <w:vAlign w:val="center"/>
          </w:tcPr>
          <w:p>
            <w:r/>
            <w:r>
              <w:rPr>
                <w:b w:val="0"/>
                <w:sz w:val="17"/>
              </w:rPr>
              <w:t>Jobs</w:t>
              <w:br/>
              <w:t>Timeline</w:t>
            </w:r>
          </w:p>
        </w:tc>
        <w:tc>
          <w:tcPr>
            <w:tcW w:type="dxa" w:w="2045"/>
            <w:shd w:fill="FFFFFF"/>
            <w:vAlign w:val="center"/>
          </w:tcPr>
          <w:p>
            <w:r/>
            <w:r>
              <w:rPr>
                <w:b w:val="0"/>
                <w:sz w:val="17"/>
              </w:rPr>
              <w:t>Invoices</w:t>
              <w:br/>
              <w:t>Payments</w:t>
            </w:r>
          </w:p>
        </w:tc>
        <w:tc>
          <w:tcPr>
            <w:tcW w:type="dxa" w:w="2045"/>
            <w:shd w:fill="FFFFFF"/>
            <w:vAlign w:val="center"/>
          </w:tcPr>
          <w:p>
            <w:r/>
            <w:r>
              <w:rPr>
                <w:b w:val="0"/>
                <w:sz w:val="17"/>
              </w:rPr>
              <w:t>Employees</w:t>
              <w:br/>
              <w:t>Capacity</w:t>
            </w:r>
          </w:p>
        </w:tc>
      </w:tr>
      <w:tr>
        <w:tc>
          <w:tcPr>
            <w:tcW w:type="dxa" w:w="4090"/>
            <w:gridSpan w:val="2"/>
            <w:shd w:fill="EAF2F8"/>
            <w:vAlign w:val="center"/>
          </w:tcPr>
          <w:p>
            <w:r/>
            <w:r>
              <w:rPr>
                <w:b/>
                <w:color w:val="18324A"/>
                <w:sz w:val="18"/>
              </w:rPr>
              <w:t>CatalogStore</w:t>
              <w:br/>
              <w:t>Catalog templates &amp; ranking</w:t>
            </w:r>
          </w:p>
        </w:tc>
        <w:tc>
          <w:tcPr>
            <w:tcW w:type="dxa" w:w="2045"/>
            <w:shd w:fill="EAF2F8"/>
            <w:vAlign w:val="center"/>
          </w:tcPr>
          <w:p>
            <w:r/>
            <w:r>
              <w:rPr>
                <w:b/>
                <w:color w:val="18324A"/>
                <w:sz w:val="18"/>
              </w:rPr>
              <w:t>SettingsStore</w:t>
              <w:br/>
              <w:t>Business profile</w:t>
            </w:r>
          </w:p>
        </w:tc>
        <w:tc>
          <w:tcPr>
            <w:tcW w:type="dxa" w:w="4090"/>
            <w:gridSpan w:val="2"/>
            <w:shd w:fill="EAF2F8"/>
            <w:vAlign w:val="center"/>
          </w:tcPr>
          <w:p>
            <w:r/>
            <w:r>
              <w:rPr>
                <w:b/>
                <w:color w:val="18324A"/>
                <w:sz w:val="18"/>
              </w:rPr>
              <w:t>RecommendationRuleStore</w:t>
              <w:br/>
              <w:t>Configurable rules</w:t>
            </w:r>
          </w:p>
        </w:tc>
      </w:tr>
      <w:tr>
        <w:tc>
          <w:tcPr>
            <w:tcW w:type="dxa" w:w="10225"/>
            <w:gridSpan w:val="5"/>
            <w:shd w:fill="FFFFFF"/>
            <w:vAlign w:val="center"/>
          </w:tcPr>
          <w:p>
            <w:pPr>
              <w:jc w:val="center"/>
            </w:pPr>
            <w:r/>
            <w:r>
              <w:rPr>
                <w:b w:val="0"/>
                <w:sz w:val="17"/>
              </w:rPr>
              <w:t>↓ all persisted owners use one storage contract</w:t>
            </w:r>
          </w:p>
        </w:tc>
      </w:tr>
      <w:tr>
        <w:tc>
          <w:tcPr>
            <w:tcW w:type="dxa" w:w="10225"/>
            <w:gridSpan w:val="5"/>
            <w:shd w:fill="2E75B6"/>
            <w:vAlign w:val="center"/>
          </w:tcPr>
          <w:p>
            <w:r/>
            <w:r>
              <w:rPr>
                <w:b/>
                <w:color w:val="FFFFFF"/>
                <w:sz w:val="20"/>
              </w:rPr>
              <w:t>PersistenceService  →  Versioned Snapshot  →  JSON File + Last-Known-Good Backup</w:t>
            </w:r>
          </w:p>
        </w:tc>
      </w:tr>
    </w:tbl>
    <w:p>
      <w:pPr>
        <w:pStyle w:val="SmallNote"/>
      </w:pPr>
      <w:r>
        <w:t>Ownership principle: a record has one mutation owner; other domains reference it by stable identity and coordinate through explicit workflows.</w:t>
      </w:r>
    </w:p>
    <w:p>
      <w:pPr>
        <w:pStyle w:val="Heading1"/>
      </w:pPr>
      <w:r>
        <w:t>10. Data Architecture Recommendations</w:t>
      </w:r>
    </w:p>
    <w:p>
      <w:pPr>
        <w:pStyle w:val="Heading2"/>
      </w:pPr>
      <w:r>
        <w:t>10.1 Required before V1.0 release candidate</w:t>
      </w:r>
    </w:p>
    <w:tbl>
      <w:tblPr>
        <w:tblStyle w:val="TableGrid"/>
        <w:tblW w:type="auto" w:w="0"/>
        <w:jc w:val="center"/>
        <w:tblLook w:firstColumn="1" w:firstRow="1" w:lastColumn="0" w:lastRow="0" w:noHBand="0" w:noVBand="1" w:val="04A0"/>
      </w:tblPr>
      <w:tblGrid>
        <w:gridCol w:w="3408"/>
        <w:gridCol w:w="3408"/>
        <w:gridCol w:w="3408"/>
      </w:tblGrid>
      <w:tr>
        <w:tc>
          <w:tcPr>
            <w:tcW w:type="dxa" w:w="1008"/>
            <w:vAlign w:val="center"/>
            <w:shd w:fill="18324A"/>
          </w:tcPr>
          <w:p>
            <w:r/>
            <w:r>
              <w:rPr>
                <w:b/>
                <w:color w:val="FFFFFF"/>
                <w:sz w:val="18"/>
              </w:rPr>
              <w:t>Priority</w:t>
            </w:r>
          </w:p>
        </w:tc>
        <w:tc>
          <w:tcPr>
            <w:tcW w:type="dxa" w:w="3888"/>
            <w:vAlign w:val="center"/>
            <w:shd w:fill="18324A"/>
          </w:tcPr>
          <w:p>
            <w:r/>
            <w:r>
              <w:rPr>
                <w:b/>
                <w:color w:val="FFFFFF"/>
                <w:sz w:val="18"/>
              </w:rPr>
              <w:t>Recommendation</w:t>
            </w:r>
          </w:p>
        </w:tc>
        <w:tc>
          <w:tcPr>
            <w:tcW w:type="dxa" w:w="5760"/>
            <w:vAlign w:val="center"/>
            <w:shd w:fill="18324A"/>
          </w:tcPr>
          <w:p>
            <w:r/>
            <w:r>
              <w:rPr>
                <w:b/>
                <w:color w:val="FFFFFF"/>
                <w:sz w:val="18"/>
              </w:rPr>
              <w:t>Reason / acceptance condition</w:t>
            </w:r>
          </w:p>
        </w:tc>
      </w:tr>
      <w:tr>
        <w:tc>
          <w:tcPr>
            <w:tcW w:type="dxa" w:w="1008"/>
            <w:vAlign w:val="center"/>
          </w:tcPr>
          <w:p>
            <w:r/>
            <w:r>
              <w:rPr>
                <w:b w:val="0"/>
                <w:sz w:val="17"/>
              </w:rPr>
              <w:t>P0</w:t>
            </w:r>
          </w:p>
        </w:tc>
        <w:tc>
          <w:tcPr>
            <w:tcW w:type="dxa" w:w="3888"/>
            <w:vAlign w:val="center"/>
          </w:tcPr>
          <w:p>
            <w:r/>
            <w:r>
              <w:rPr>
                <w:b w:val="0"/>
                <w:sz w:val="17"/>
              </w:rPr>
              <w:t>Add persistence round-trip and backward-compatibility tests</w:t>
            </w:r>
          </w:p>
        </w:tc>
        <w:tc>
          <w:tcPr>
            <w:tcW w:type="dxa" w:w="5760"/>
            <w:vAlign w:val="center"/>
          </w:tcPr>
          <w:p>
            <w:r/>
            <w:r>
              <w:rPr>
                <w:b w:val="0"/>
                <w:sz w:val="17"/>
              </w:rPr>
              <w:t>A representative snapshot saves and reloads without loss; older fixture files decode with expected defaults.</w:t>
            </w:r>
          </w:p>
        </w:tc>
      </w:tr>
      <w:tr>
        <w:tc>
          <w:tcPr>
            <w:tcW w:type="dxa" w:w="1008"/>
            <w:vAlign w:val="center"/>
          </w:tcPr>
          <w:p>
            <w:r/>
            <w:r>
              <w:rPr>
                <w:b w:val="0"/>
                <w:sz w:val="17"/>
              </w:rPr>
              <w:t>P0</w:t>
            </w:r>
          </w:p>
        </w:tc>
        <w:tc>
          <w:tcPr>
            <w:tcW w:type="dxa" w:w="3888"/>
            <w:vAlign w:val="center"/>
          </w:tcPr>
          <w:p>
            <w:r/>
            <w:r>
              <w:rPr>
                <w:b w:val="0"/>
                <w:sz w:val="17"/>
              </w:rPr>
              <w:t>Add load/save error state and recovery path</w:t>
            </w:r>
          </w:p>
        </w:tc>
        <w:tc>
          <w:tcPr>
            <w:tcW w:type="dxa" w:w="5760"/>
            <w:vAlign w:val="center"/>
          </w:tcPr>
          <w:p>
            <w:r/>
            <w:r>
              <w:rPr>
                <w:b w:val="0"/>
                <w:sz w:val="17"/>
              </w:rPr>
              <w:t>Failures are visible; corrupt primary data can be recovered from backup or exported for diagnosis.</w:t>
            </w:r>
          </w:p>
        </w:tc>
      </w:tr>
      <w:tr>
        <w:tc>
          <w:tcPr>
            <w:tcW w:type="dxa" w:w="1008"/>
            <w:vAlign w:val="center"/>
          </w:tcPr>
          <w:p>
            <w:r/>
            <w:r>
              <w:rPr>
                <w:b w:val="0"/>
                <w:sz w:val="17"/>
              </w:rPr>
              <w:t>P0</w:t>
            </w:r>
          </w:p>
        </w:tc>
        <w:tc>
          <w:tcPr>
            <w:tcW w:type="dxa" w:w="3888"/>
            <w:vAlign w:val="center"/>
          </w:tcPr>
          <w:p>
            <w:r/>
            <w:r>
              <w:rPr>
                <w:b w:val="0"/>
                <w:sz w:val="17"/>
              </w:rPr>
              <w:t>Prevent autosave during load and coalesce writes</w:t>
            </w:r>
          </w:p>
        </w:tc>
        <w:tc>
          <w:tcPr>
            <w:tcW w:type="dxa" w:w="5760"/>
            <w:vAlign w:val="center"/>
          </w:tcPr>
          <w:p>
            <w:r/>
            <w:r>
              <w:rPr>
                <w:b w:val="0"/>
                <w:sz w:val="17"/>
              </w:rPr>
              <w:t>One logical transaction results in one save; loading does not rewrite the file property-by-property.</w:t>
            </w:r>
          </w:p>
        </w:tc>
      </w:tr>
      <w:tr>
        <w:tc>
          <w:tcPr>
            <w:tcW w:type="dxa" w:w="1008"/>
            <w:vAlign w:val="center"/>
          </w:tcPr>
          <w:p>
            <w:r/>
            <w:r>
              <w:rPr>
                <w:b w:val="0"/>
                <w:sz w:val="17"/>
              </w:rPr>
              <w:t>P1</w:t>
            </w:r>
          </w:p>
        </w:tc>
        <w:tc>
          <w:tcPr>
            <w:tcW w:type="dxa" w:w="3888"/>
            <w:vAlign w:val="center"/>
          </w:tcPr>
          <w:p>
            <w:r/>
            <w:r>
              <w:rPr>
                <w:b w:val="0"/>
                <w:sz w:val="17"/>
              </w:rPr>
              <w:t>Add schemaVersion and savedAt to snapshot</w:t>
            </w:r>
          </w:p>
        </w:tc>
        <w:tc>
          <w:tcPr>
            <w:tcW w:type="dxa" w:w="5760"/>
            <w:vAlign w:val="center"/>
          </w:tcPr>
          <w:p>
            <w:r/>
            <w:r>
              <w:rPr>
                <w:b w:val="0"/>
                <w:sz w:val="17"/>
              </w:rPr>
              <w:t>Every persisted file declares its format version and supports centralized migrations.</w:t>
            </w:r>
          </w:p>
        </w:tc>
      </w:tr>
      <w:tr>
        <w:tc>
          <w:tcPr>
            <w:tcW w:type="dxa" w:w="1008"/>
            <w:vAlign w:val="center"/>
          </w:tcPr>
          <w:p>
            <w:r/>
            <w:r>
              <w:rPr>
                <w:b w:val="0"/>
                <w:sz w:val="17"/>
              </w:rPr>
              <w:t>P1</w:t>
            </w:r>
          </w:p>
        </w:tc>
        <w:tc>
          <w:tcPr>
            <w:tcW w:type="dxa" w:w="3888"/>
            <w:vAlign w:val="center"/>
          </w:tcPr>
          <w:p>
            <w:r/>
            <w:r>
              <w:rPr>
                <w:b w:val="0"/>
                <w:sz w:val="17"/>
              </w:rPr>
              <w:t>Document numbering guarantees</w:t>
            </w:r>
          </w:p>
        </w:tc>
        <w:tc>
          <w:tcPr>
            <w:tcW w:type="dxa" w:w="5760"/>
            <w:vAlign w:val="center"/>
          </w:tcPr>
          <w:p>
            <w:r/>
            <w:r>
              <w:rPr>
                <w:b w:val="0"/>
                <w:sz w:val="17"/>
              </w:rPr>
              <w:t>Numbers are immutable and unique per dataset; gaps are allowed; business time zone is explicit.</w:t>
            </w:r>
          </w:p>
        </w:tc>
      </w:tr>
      <w:tr>
        <w:tc>
          <w:tcPr>
            <w:tcW w:type="dxa" w:w="1008"/>
            <w:vAlign w:val="center"/>
          </w:tcPr>
          <w:p>
            <w:r/>
            <w:r>
              <w:rPr>
                <w:b w:val="0"/>
                <w:sz w:val="17"/>
              </w:rPr>
              <w:t>P1</w:t>
            </w:r>
          </w:p>
        </w:tc>
        <w:tc>
          <w:tcPr>
            <w:tcW w:type="dxa" w:w="3888"/>
            <w:vAlign w:val="center"/>
          </w:tcPr>
          <w:p>
            <w:r/>
            <w:r>
              <w:rPr>
                <w:b w:val="0"/>
                <w:sz w:val="17"/>
              </w:rPr>
              <w:t>Add integrity audit on load</w:t>
            </w:r>
          </w:p>
        </w:tc>
        <w:tc>
          <w:tcPr>
            <w:tcW w:type="dxa" w:w="5760"/>
            <w:vAlign w:val="center"/>
          </w:tcPr>
          <w:p>
            <w:r/>
            <w:r>
              <w:rPr>
                <w:b w:val="0"/>
                <w:sz w:val="17"/>
              </w:rPr>
              <w:t>Duplicate numbers and orphaned references are reported without destructive auto-fixes.</w:t>
            </w:r>
          </w:p>
        </w:tc>
      </w:tr>
      <w:tr>
        <w:tc>
          <w:tcPr>
            <w:tcW w:type="dxa" w:w="1008"/>
            <w:vAlign w:val="center"/>
          </w:tcPr>
          <w:p>
            <w:r/>
            <w:r>
              <w:rPr>
                <w:b w:val="0"/>
                <w:sz w:val="17"/>
              </w:rPr>
              <w:t>P1</w:t>
            </w:r>
          </w:p>
        </w:tc>
        <w:tc>
          <w:tcPr>
            <w:tcW w:type="dxa" w:w="3888"/>
            <w:vAlign w:val="center"/>
          </w:tcPr>
          <w:p>
            <w:r/>
            <w:r>
              <w:rPr>
                <w:b w:val="0"/>
                <w:sz w:val="17"/>
              </w:rPr>
              <w:t>Mark observable store @MainActor</w:t>
            </w:r>
          </w:p>
        </w:tc>
        <w:tc>
          <w:tcPr>
            <w:tcW w:type="dxa" w:w="5760"/>
            <w:vAlign w:val="center"/>
          </w:tcPr>
          <w:p>
            <w:r/>
            <w:r>
              <w:rPr>
                <w:b w:val="0"/>
                <w:sz w:val="17"/>
              </w:rPr>
              <w:t>All state mutations have an explicit concurrency boundary.</w:t>
            </w:r>
          </w:p>
        </w:tc>
      </w:tr>
    </w:tbl>
    <w:p>
      <w:pPr>
        <w:spacing w:after="0"/>
      </w:pPr>
    </w:p>
    <w:p>
      <w:pPr>
        <w:pStyle w:val="Heading2"/>
      </w:pPr>
      <w:r>
        <w:t>10.2 Recommended after V1.0 field validation</w:t>
      </w:r>
    </w:p>
    <w:p>
      <w:pPr>
        <w:pStyle w:val="ListBullet"/>
      </w:pPr>
      <w:r>
        <w:t>Extract a PersistenceService protocol and JSONSnapshotPersistence implementation.</w:t>
      </w:r>
    </w:p>
    <w:p>
      <w:pPr>
        <w:pStyle w:val="ListBullet"/>
      </w:pPr>
      <w:r>
        <w:t>Evolve AppDataStore into a façade and introduce domain stores incrementally, one low-risk domain at a time.</w:t>
      </w:r>
    </w:p>
    <w:p>
      <w:pPr>
        <w:pStyle w:val="ListBullet"/>
      </w:pPr>
      <w:r>
        <w:t>Make persisted collections private(set) and route writes through commands.</w:t>
      </w:r>
    </w:p>
    <w:p>
      <w:pPr>
        <w:pStyle w:val="ListBullet"/>
      </w:pPr>
      <w:r>
        <w:t>Move record-number policies behind a RecordNumberService or domain-owned generators.</w:t>
      </w:r>
    </w:p>
    <w:p>
      <w:pPr>
        <w:pStyle w:val="ListBullet"/>
      </w:pPr>
      <w:r>
        <w:t>Split Models.swift by domain for navigation and ownership clarity; do not change model semantics during that move.</w:t>
      </w:r>
    </w:p>
    <w:p>
      <w:pPr>
        <w:pStyle w:val="ListBullet"/>
      </w:pPr>
      <w:r>
        <w:t>Introduce canonical UUID relationships for newly built features and migrate name-based personnel references.</w:t>
      </w:r>
    </w:p>
    <w:p>
      <w:pPr>
        <w:pStyle w:val="Heading2"/>
      </w:pPr>
      <w:r>
        <w:t>10.3 Intentionally leave alone</w:t>
      </w:r>
    </w:p>
    <w:p>
      <w:pPr>
        <w:pStyle w:val="ListBullet"/>
      </w:pPr>
      <w:r>
        <w:t>Keep JSON persistence for V1.0; do not introduce Core Data or SwiftData solely for architectural neatness.</w:t>
      </w:r>
    </w:p>
    <w:p>
      <w:pPr>
        <w:pStyle w:val="ListBullet"/>
      </w:pPr>
      <w:r>
        <w:t>Keep the Customer → Site/Lead → Estimate → Job → Invoice workflow.</w:t>
      </w:r>
    </w:p>
    <w:p>
      <w:pPr>
        <w:pStyle w:val="ListBullet"/>
      </w:pPr>
      <w:r>
        <w:t>Keep embedded line-item snapshots on transactional documents.</w:t>
      </w:r>
    </w:p>
    <w:p>
      <w:pPr>
        <w:pStyle w:val="ListBullet"/>
      </w:pPr>
      <w:r>
        <w:t>Keep human-readable customer, lead, estimate, job, invoice, and receipt numbers.</w:t>
      </w:r>
    </w:p>
    <w:p>
      <w:pPr>
        <w:pStyle w:val="ListBullet"/>
      </w:pPr>
      <w:r>
        <w:t>Keep one root AppDataStore instance in the SwiftUI environment until domain-store extraction is justified by tested changes.</w:t>
      </w:r>
    </w:p>
    <w:p>
      <w:pPr>
        <w:pStyle w:val="Heading1"/>
      </w:pPr>
      <w:r>
        <w:t>11. Data-Layer Risk Register</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3024"/>
            <w:vAlign w:val="center"/>
            <w:shd w:fill="18324A"/>
          </w:tcPr>
          <w:p>
            <w:r/>
            <w:r>
              <w:rPr>
                <w:b/>
                <w:color w:val="FFFFFF"/>
                <w:sz w:val="18"/>
              </w:rPr>
              <w:t>Risk</w:t>
            </w:r>
          </w:p>
        </w:tc>
        <w:tc>
          <w:tcPr>
            <w:tcW w:type="dxa" w:w="1440"/>
            <w:vAlign w:val="center"/>
            <w:shd w:fill="18324A"/>
          </w:tcPr>
          <w:p>
            <w:r/>
            <w:r>
              <w:rPr>
                <w:b/>
                <w:color w:val="FFFFFF"/>
                <w:sz w:val="18"/>
              </w:rPr>
              <w:t>Likelihood</w:t>
            </w:r>
          </w:p>
        </w:tc>
        <w:tc>
          <w:tcPr>
            <w:tcW w:type="dxa" w:w="1440"/>
            <w:vAlign w:val="center"/>
            <w:shd w:fill="18324A"/>
          </w:tcPr>
          <w:p>
            <w:r/>
            <w:r>
              <w:rPr>
                <w:b/>
                <w:color w:val="FFFFFF"/>
                <w:sz w:val="18"/>
              </w:rPr>
              <w:t>Impact</w:t>
            </w:r>
          </w:p>
        </w:tc>
        <w:tc>
          <w:tcPr>
            <w:tcW w:type="dxa" w:w="4320"/>
            <w:vAlign w:val="center"/>
            <w:shd w:fill="18324A"/>
          </w:tcPr>
          <w:p>
            <w:r/>
            <w:r>
              <w:rPr>
                <w:b/>
                <w:color w:val="FFFFFF"/>
                <w:sz w:val="18"/>
              </w:rPr>
              <w:t>Mitigation</w:t>
            </w:r>
          </w:p>
        </w:tc>
      </w:tr>
      <w:tr>
        <w:tc>
          <w:tcPr>
            <w:tcW w:type="dxa" w:w="3024"/>
            <w:vAlign w:val="center"/>
          </w:tcPr>
          <w:p>
            <w:r/>
            <w:r>
              <w:rPr>
                <w:b w:val="0"/>
                <w:sz w:val="17"/>
              </w:rPr>
              <w:t>Silent persistence failure</w:t>
            </w:r>
          </w:p>
        </w:tc>
        <w:tc>
          <w:tcPr>
            <w:tcW w:type="dxa" w:w="1440"/>
            <w:vAlign w:val="center"/>
          </w:tcPr>
          <w:p>
            <w:r/>
            <w:r>
              <w:rPr>
                <w:b w:val="0"/>
                <w:sz w:val="17"/>
              </w:rPr>
              <w:t>Medium</w:t>
            </w:r>
          </w:p>
        </w:tc>
        <w:tc>
          <w:tcPr>
            <w:tcW w:type="dxa" w:w="1440"/>
            <w:vAlign w:val="center"/>
          </w:tcPr>
          <w:p>
            <w:r/>
            <w:r>
              <w:rPr>
                <w:b w:val="0"/>
                <w:sz w:val="17"/>
              </w:rPr>
              <w:t>High</w:t>
            </w:r>
          </w:p>
        </w:tc>
        <w:tc>
          <w:tcPr>
            <w:tcW w:type="dxa" w:w="4320"/>
            <w:vAlign w:val="center"/>
          </w:tcPr>
          <w:p>
            <w:r/>
            <w:r>
              <w:rPr>
                <w:b w:val="0"/>
                <w:sz w:val="17"/>
              </w:rPr>
              <w:t>Expose errors, backup, and recovery workflow.</w:t>
            </w:r>
          </w:p>
        </w:tc>
      </w:tr>
      <w:tr>
        <w:tc>
          <w:tcPr>
            <w:tcW w:type="dxa" w:w="3024"/>
            <w:vAlign w:val="center"/>
          </w:tcPr>
          <w:p>
            <w:r/>
            <w:r>
              <w:rPr>
                <w:b w:val="0"/>
                <w:sz w:val="17"/>
              </w:rPr>
              <w:t>Corrupt or incompatible snapshot</w:t>
            </w:r>
          </w:p>
        </w:tc>
        <w:tc>
          <w:tcPr>
            <w:tcW w:type="dxa" w:w="1440"/>
            <w:vAlign w:val="center"/>
          </w:tcPr>
          <w:p>
            <w:r/>
            <w:r>
              <w:rPr>
                <w:b w:val="0"/>
                <w:sz w:val="17"/>
              </w:rPr>
              <w:t>Low–Medium</w:t>
            </w:r>
          </w:p>
        </w:tc>
        <w:tc>
          <w:tcPr>
            <w:tcW w:type="dxa" w:w="1440"/>
            <w:vAlign w:val="center"/>
          </w:tcPr>
          <w:p>
            <w:r/>
            <w:r>
              <w:rPr>
                <w:b w:val="0"/>
                <w:sz w:val="17"/>
              </w:rPr>
              <w:t>High</w:t>
            </w:r>
          </w:p>
        </w:tc>
        <w:tc>
          <w:tcPr>
            <w:tcW w:type="dxa" w:w="4320"/>
            <w:vAlign w:val="center"/>
          </w:tcPr>
          <w:p>
            <w:r/>
            <w:r>
              <w:rPr>
                <w:b w:val="0"/>
                <w:sz w:val="17"/>
              </w:rPr>
              <w:t>Schema version, fixtures, migration tests, last-known-good backup.</w:t>
            </w:r>
          </w:p>
        </w:tc>
      </w:tr>
      <w:tr>
        <w:tc>
          <w:tcPr>
            <w:tcW w:type="dxa" w:w="3024"/>
            <w:vAlign w:val="center"/>
          </w:tcPr>
          <w:p>
            <w:r/>
            <w:r>
              <w:rPr>
                <w:b w:val="0"/>
                <w:sz w:val="17"/>
              </w:rPr>
              <w:t>Excessive synchronous writes as data grows</w:t>
            </w:r>
          </w:p>
        </w:tc>
        <w:tc>
          <w:tcPr>
            <w:tcW w:type="dxa" w:w="1440"/>
            <w:vAlign w:val="center"/>
          </w:tcPr>
          <w:p>
            <w:r/>
            <w:r>
              <w:rPr>
                <w:b w:val="0"/>
                <w:sz w:val="17"/>
              </w:rPr>
              <w:t>High over time</w:t>
            </w:r>
          </w:p>
        </w:tc>
        <w:tc>
          <w:tcPr>
            <w:tcW w:type="dxa" w:w="1440"/>
            <w:vAlign w:val="center"/>
          </w:tcPr>
          <w:p>
            <w:r/>
            <w:r>
              <w:rPr>
                <w:b w:val="0"/>
                <w:sz w:val="17"/>
              </w:rPr>
              <w:t>Medium</w:t>
            </w:r>
          </w:p>
        </w:tc>
        <w:tc>
          <w:tcPr>
            <w:tcW w:type="dxa" w:w="4320"/>
            <w:vAlign w:val="center"/>
          </w:tcPr>
          <w:p>
            <w:r/>
            <w:r>
              <w:rPr>
                <w:b w:val="0"/>
                <w:sz w:val="17"/>
              </w:rPr>
              <w:t>Suspend during load; debounce/coalesce; background serialization later.</w:t>
            </w:r>
          </w:p>
        </w:tc>
      </w:tr>
      <w:tr>
        <w:tc>
          <w:tcPr>
            <w:tcW w:type="dxa" w:w="3024"/>
            <w:vAlign w:val="center"/>
          </w:tcPr>
          <w:p>
            <w:r/>
            <w:r>
              <w:rPr>
                <w:b w:val="0"/>
                <w:sz w:val="17"/>
              </w:rPr>
              <w:t>Orphaned relationships</w:t>
            </w:r>
          </w:p>
        </w:tc>
        <w:tc>
          <w:tcPr>
            <w:tcW w:type="dxa" w:w="1440"/>
            <w:vAlign w:val="center"/>
          </w:tcPr>
          <w:p>
            <w:r/>
            <w:r>
              <w:rPr>
                <w:b w:val="0"/>
                <w:sz w:val="17"/>
              </w:rPr>
              <w:t>Medium</w:t>
            </w:r>
          </w:p>
        </w:tc>
        <w:tc>
          <w:tcPr>
            <w:tcW w:type="dxa" w:w="1440"/>
            <w:vAlign w:val="center"/>
          </w:tcPr>
          <w:p>
            <w:r/>
            <w:r>
              <w:rPr>
                <w:b w:val="0"/>
                <w:sz w:val="17"/>
              </w:rPr>
              <w:t>Medium–High</w:t>
            </w:r>
          </w:p>
        </w:tc>
        <w:tc>
          <w:tcPr>
            <w:tcW w:type="dxa" w:w="4320"/>
            <w:vAlign w:val="center"/>
          </w:tcPr>
          <w:p>
            <w:r/>
            <w:r>
              <w:rPr>
                <w:b w:val="0"/>
                <w:sz w:val="17"/>
              </w:rPr>
              <w:t>Integrity audit and canonical UUID links.</w:t>
            </w:r>
          </w:p>
        </w:tc>
      </w:tr>
      <w:tr>
        <w:tc>
          <w:tcPr>
            <w:tcW w:type="dxa" w:w="3024"/>
            <w:vAlign w:val="center"/>
          </w:tcPr>
          <w:p>
            <w:r/>
            <w:r>
              <w:rPr>
                <w:b w:val="0"/>
                <w:sz w:val="17"/>
              </w:rPr>
              <w:t>Record-number collision after multi-device expansion</w:t>
            </w:r>
          </w:p>
        </w:tc>
        <w:tc>
          <w:tcPr>
            <w:tcW w:type="dxa" w:w="1440"/>
            <w:vAlign w:val="center"/>
          </w:tcPr>
          <w:p>
            <w:r/>
            <w:r>
              <w:rPr>
                <w:b w:val="0"/>
                <w:sz w:val="17"/>
              </w:rPr>
              <w:t>Low for V1</w:t>
            </w:r>
          </w:p>
        </w:tc>
        <w:tc>
          <w:tcPr>
            <w:tcW w:type="dxa" w:w="1440"/>
            <w:vAlign w:val="center"/>
          </w:tcPr>
          <w:p>
            <w:r/>
            <w:r>
              <w:rPr>
                <w:b w:val="0"/>
                <w:sz w:val="17"/>
              </w:rPr>
              <w:t>High later</w:t>
            </w:r>
          </w:p>
        </w:tc>
        <w:tc>
          <w:tcPr>
            <w:tcW w:type="dxa" w:w="4320"/>
            <w:vAlign w:val="center"/>
          </w:tcPr>
          <w:p>
            <w:r/>
            <w:r>
              <w:rPr>
                <w:b w:val="0"/>
                <w:sz w:val="17"/>
              </w:rPr>
              <w:t>Document single-device scope; redesign before sync.</w:t>
            </w:r>
          </w:p>
        </w:tc>
      </w:tr>
      <w:tr>
        <w:tc>
          <w:tcPr>
            <w:tcW w:type="dxa" w:w="3024"/>
            <w:vAlign w:val="center"/>
          </w:tcPr>
          <w:p>
            <w:r/>
            <w:r>
              <w:rPr>
                <w:b w:val="0"/>
                <w:sz w:val="17"/>
              </w:rPr>
              <w:t>AppDataStore change blast radius</w:t>
            </w:r>
          </w:p>
        </w:tc>
        <w:tc>
          <w:tcPr>
            <w:tcW w:type="dxa" w:w="1440"/>
            <w:vAlign w:val="center"/>
          </w:tcPr>
          <w:p>
            <w:r/>
            <w:r>
              <w:rPr>
                <w:b w:val="0"/>
                <w:sz w:val="17"/>
              </w:rPr>
              <w:t>High over time</w:t>
            </w:r>
          </w:p>
        </w:tc>
        <w:tc>
          <w:tcPr>
            <w:tcW w:type="dxa" w:w="1440"/>
            <w:vAlign w:val="center"/>
          </w:tcPr>
          <w:p>
            <w:r/>
            <w:r>
              <w:rPr>
                <w:b w:val="0"/>
                <w:sz w:val="17"/>
              </w:rPr>
              <w:t>Medium</w:t>
            </w:r>
          </w:p>
        </w:tc>
        <w:tc>
          <w:tcPr>
            <w:tcW w:type="dxa" w:w="4320"/>
            <w:vAlign w:val="center"/>
          </w:tcPr>
          <w:p>
            <w:r/>
            <w:r>
              <w:rPr>
                <w:b w:val="0"/>
                <w:sz w:val="17"/>
              </w:rPr>
              <w:t>Tests now; incremental domain extraction after V1.</w:t>
            </w:r>
          </w:p>
        </w:tc>
      </w:tr>
    </w:tbl>
    <w:p>
      <w:pPr>
        <w:spacing w:after="0"/>
      </w:pPr>
    </w:p>
    <w:p>
      <w:pPr>
        <w:pStyle w:val="Heading1"/>
      </w:pPr>
      <w:r>
        <w:t>12. Suggested Implementation Sequence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792"/>
            <w:vAlign w:val="center"/>
            <w:shd w:fill="18324A"/>
          </w:tcPr>
          <w:p>
            <w:r/>
            <w:r>
              <w:rPr>
                <w:b/>
                <w:color w:val="FFFFFF"/>
                <w:sz w:val="18"/>
              </w:rPr>
              <w:t>Step</w:t>
            </w:r>
          </w:p>
        </w:tc>
        <w:tc>
          <w:tcPr>
            <w:tcW w:type="dxa" w:w="4608"/>
            <w:vAlign w:val="center"/>
            <w:shd w:fill="18324A"/>
          </w:tcPr>
          <w:p>
            <w:r/>
            <w:r>
              <w:rPr>
                <w:b/>
                <w:color w:val="FFFFFF"/>
                <w:sz w:val="18"/>
              </w:rPr>
              <w:t>Work item</w:t>
            </w:r>
          </w:p>
        </w:tc>
        <w:tc>
          <w:tcPr>
            <w:tcW w:type="dxa" w:w="1656"/>
            <w:vAlign w:val="center"/>
            <w:shd w:fill="18324A"/>
          </w:tcPr>
          <w:p>
            <w:r/>
            <w:r>
              <w:rPr>
                <w:b/>
                <w:color w:val="FFFFFF"/>
                <w:sz w:val="18"/>
              </w:rPr>
              <w:t>Change risk</w:t>
            </w:r>
          </w:p>
        </w:tc>
        <w:tc>
          <w:tcPr>
            <w:tcW w:type="dxa" w:w="3456"/>
            <w:vAlign w:val="center"/>
            <w:shd w:fill="18324A"/>
          </w:tcPr>
          <w:p>
            <w:r/>
            <w:r>
              <w:rPr>
                <w:b/>
                <w:color w:val="FFFFFF"/>
                <w:sz w:val="18"/>
              </w:rPr>
              <w:t>Verification</w:t>
            </w:r>
          </w:p>
        </w:tc>
      </w:tr>
      <w:tr>
        <w:tc>
          <w:tcPr>
            <w:tcW w:type="dxa" w:w="792"/>
            <w:vAlign w:val="center"/>
          </w:tcPr>
          <w:p>
            <w:r/>
            <w:r>
              <w:rPr>
                <w:b w:val="0"/>
                <w:sz w:val="17"/>
              </w:rPr>
              <w:t>1</w:t>
            </w:r>
          </w:p>
        </w:tc>
        <w:tc>
          <w:tcPr>
            <w:tcW w:type="dxa" w:w="4608"/>
            <w:vAlign w:val="center"/>
          </w:tcPr>
          <w:p>
            <w:r/>
            <w:r>
              <w:rPr>
                <w:b w:val="0"/>
                <w:sz w:val="17"/>
              </w:rPr>
              <w:t>Create snapshot fixture tests and numbering tests</w:t>
            </w:r>
          </w:p>
        </w:tc>
        <w:tc>
          <w:tcPr>
            <w:tcW w:type="dxa" w:w="1656"/>
            <w:vAlign w:val="center"/>
          </w:tcPr>
          <w:p>
            <w:r/>
            <w:r>
              <w:rPr>
                <w:b w:val="0"/>
                <w:sz w:val="17"/>
              </w:rPr>
              <w:t>Low</w:t>
            </w:r>
          </w:p>
        </w:tc>
        <w:tc>
          <w:tcPr>
            <w:tcW w:type="dxa" w:w="3456"/>
            <w:vAlign w:val="center"/>
          </w:tcPr>
          <w:p>
            <w:r/>
            <w:r>
              <w:rPr>
                <w:b w:val="0"/>
                <w:sz w:val="17"/>
              </w:rPr>
              <w:t>Automated tests pass against current data.</w:t>
            </w:r>
          </w:p>
        </w:tc>
      </w:tr>
      <w:tr>
        <w:tc>
          <w:tcPr>
            <w:tcW w:type="dxa" w:w="792"/>
            <w:vAlign w:val="center"/>
          </w:tcPr>
          <w:p>
            <w:r/>
            <w:r>
              <w:rPr>
                <w:b w:val="0"/>
                <w:sz w:val="17"/>
              </w:rPr>
              <w:t>2</w:t>
            </w:r>
          </w:p>
        </w:tc>
        <w:tc>
          <w:tcPr>
            <w:tcW w:type="dxa" w:w="4608"/>
            <w:vAlign w:val="center"/>
          </w:tcPr>
          <w:p>
            <w:r/>
            <w:r>
              <w:rPr>
                <w:b w:val="0"/>
                <w:sz w:val="17"/>
              </w:rPr>
              <w:t>Introduce isLoading/suspendAutosave and one explicit save after load</w:t>
            </w:r>
          </w:p>
        </w:tc>
        <w:tc>
          <w:tcPr>
            <w:tcW w:type="dxa" w:w="1656"/>
            <w:vAlign w:val="center"/>
          </w:tcPr>
          <w:p>
            <w:r/>
            <w:r>
              <w:rPr>
                <w:b w:val="0"/>
                <w:sz w:val="17"/>
              </w:rPr>
              <w:t>Low–Medium</w:t>
            </w:r>
          </w:p>
        </w:tc>
        <w:tc>
          <w:tcPr>
            <w:tcW w:type="dxa" w:w="3456"/>
            <w:vAlign w:val="center"/>
          </w:tcPr>
          <w:p>
            <w:r/>
            <w:r>
              <w:rPr>
                <w:b w:val="0"/>
                <w:sz w:val="17"/>
              </w:rPr>
              <w:t>Startup produces no intermediate writes.</w:t>
            </w:r>
          </w:p>
        </w:tc>
      </w:tr>
      <w:tr>
        <w:tc>
          <w:tcPr>
            <w:tcW w:type="dxa" w:w="792"/>
            <w:vAlign w:val="center"/>
          </w:tcPr>
          <w:p>
            <w:r/>
            <w:r>
              <w:rPr>
                <w:b w:val="0"/>
                <w:sz w:val="17"/>
              </w:rPr>
              <w:t>3</w:t>
            </w:r>
          </w:p>
        </w:tc>
        <w:tc>
          <w:tcPr>
            <w:tcW w:type="dxa" w:w="4608"/>
            <w:vAlign w:val="center"/>
          </w:tcPr>
          <w:p>
            <w:r/>
            <w:r>
              <w:rPr>
                <w:b w:val="0"/>
                <w:sz w:val="17"/>
              </w:rPr>
              <w:t>Add schemaVersion, savedAt, backup, and surfaced errors</w:t>
            </w:r>
          </w:p>
        </w:tc>
        <w:tc>
          <w:tcPr>
            <w:tcW w:type="dxa" w:w="1656"/>
            <w:vAlign w:val="center"/>
          </w:tcPr>
          <w:p>
            <w:r/>
            <w:r>
              <w:rPr>
                <w:b w:val="0"/>
                <w:sz w:val="17"/>
              </w:rPr>
              <w:t>Medium</w:t>
            </w:r>
          </w:p>
        </w:tc>
        <w:tc>
          <w:tcPr>
            <w:tcW w:type="dxa" w:w="3456"/>
            <w:vAlign w:val="center"/>
          </w:tcPr>
          <w:p>
            <w:r/>
            <w:r>
              <w:rPr>
                <w:b w:val="0"/>
                <w:sz w:val="17"/>
              </w:rPr>
              <w:t>Old fixture migrates; corrupt-file recovery test passes.</w:t>
            </w:r>
          </w:p>
        </w:tc>
      </w:tr>
      <w:tr>
        <w:tc>
          <w:tcPr>
            <w:tcW w:type="dxa" w:w="792"/>
            <w:vAlign w:val="center"/>
          </w:tcPr>
          <w:p>
            <w:r/>
            <w:r>
              <w:rPr>
                <w:b w:val="0"/>
                <w:sz w:val="17"/>
              </w:rPr>
              <w:t>4</w:t>
            </w:r>
          </w:p>
        </w:tc>
        <w:tc>
          <w:tcPr>
            <w:tcW w:type="dxa" w:w="4608"/>
            <w:vAlign w:val="center"/>
          </w:tcPr>
          <w:p>
            <w:r/>
            <w:r>
              <w:rPr>
                <w:b w:val="0"/>
                <w:sz w:val="17"/>
              </w:rPr>
              <w:t>Add integrity auditor for duplicates and orphan references</w:t>
            </w:r>
          </w:p>
        </w:tc>
        <w:tc>
          <w:tcPr>
            <w:tcW w:type="dxa" w:w="1656"/>
            <w:vAlign w:val="center"/>
          </w:tcPr>
          <w:p>
            <w:r/>
            <w:r>
              <w:rPr>
                <w:b w:val="0"/>
                <w:sz w:val="17"/>
              </w:rPr>
              <w:t>Low</w:t>
            </w:r>
          </w:p>
        </w:tc>
        <w:tc>
          <w:tcPr>
            <w:tcW w:type="dxa" w:w="3456"/>
            <w:vAlign w:val="center"/>
          </w:tcPr>
          <w:p>
            <w:r/>
            <w:r>
              <w:rPr>
                <w:b w:val="0"/>
                <w:sz w:val="17"/>
              </w:rPr>
              <w:t>Audit report is deterministic and non-destructive.</w:t>
            </w:r>
          </w:p>
        </w:tc>
      </w:tr>
      <w:tr>
        <w:tc>
          <w:tcPr>
            <w:tcW w:type="dxa" w:w="792"/>
            <w:vAlign w:val="center"/>
          </w:tcPr>
          <w:p>
            <w:r/>
            <w:r>
              <w:rPr>
                <w:b w:val="0"/>
                <w:sz w:val="17"/>
              </w:rPr>
              <w:t>5</w:t>
            </w:r>
          </w:p>
        </w:tc>
        <w:tc>
          <w:tcPr>
            <w:tcW w:type="dxa" w:w="4608"/>
            <w:vAlign w:val="center"/>
          </w:tcPr>
          <w:p>
            <w:r/>
            <w:r>
              <w:rPr>
                <w:b w:val="0"/>
                <w:sz w:val="17"/>
              </w:rPr>
              <w:t>Mark store @MainActor and verify call sites</w:t>
            </w:r>
          </w:p>
        </w:tc>
        <w:tc>
          <w:tcPr>
            <w:tcW w:type="dxa" w:w="1656"/>
            <w:vAlign w:val="center"/>
          </w:tcPr>
          <w:p>
            <w:r/>
            <w:r>
              <w:rPr>
                <w:b w:val="0"/>
                <w:sz w:val="17"/>
              </w:rPr>
              <w:t>Low–Medium</w:t>
            </w:r>
          </w:p>
        </w:tc>
        <w:tc>
          <w:tcPr>
            <w:tcW w:type="dxa" w:w="3456"/>
            <w:vAlign w:val="center"/>
          </w:tcPr>
          <w:p>
            <w:r/>
            <w:r>
              <w:rPr>
                <w:b w:val="0"/>
                <w:sz w:val="17"/>
              </w:rPr>
              <w:t>Clean build and UI workflow smoke tests.</w:t>
            </w:r>
          </w:p>
        </w:tc>
      </w:tr>
      <w:tr>
        <w:tc>
          <w:tcPr>
            <w:tcW w:type="dxa" w:w="792"/>
            <w:vAlign w:val="center"/>
          </w:tcPr>
          <w:p>
            <w:r/>
            <w:r>
              <w:rPr>
                <w:b w:val="0"/>
                <w:sz w:val="17"/>
              </w:rPr>
              <w:t>6</w:t>
            </w:r>
          </w:p>
        </w:tc>
        <w:tc>
          <w:tcPr>
            <w:tcW w:type="dxa" w:w="4608"/>
            <w:vAlign w:val="center"/>
          </w:tcPr>
          <w:p>
            <w:r/>
            <w:r>
              <w:rPr>
                <w:b w:val="0"/>
                <w:sz w:val="17"/>
              </w:rPr>
              <w:t>Defer domain-store extraction until V1.0 succeeds</w:t>
            </w:r>
          </w:p>
        </w:tc>
        <w:tc>
          <w:tcPr>
            <w:tcW w:type="dxa" w:w="1656"/>
            <w:vAlign w:val="center"/>
          </w:tcPr>
          <w:p>
            <w:r/>
            <w:r>
              <w:rPr>
                <w:b w:val="0"/>
                <w:sz w:val="17"/>
              </w:rPr>
              <w:t>No V1 change</w:t>
            </w:r>
          </w:p>
        </w:tc>
        <w:tc>
          <w:tcPr>
            <w:tcW w:type="dxa" w:w="3456"/>
            <w:vAlign w:val="center"/>
          </w:tcPr>
          <w:p>
            <w:r/>
            <w:r>
              <w:rPr>
                <w:b w:val="0"/>
                <w:sz w:val="17"/>
              </w:rPr>
              <w:t>Create post-V1 technical-debt items with boundaries above.</w:t>
            </w:r>
          </w:p>
        </w:tc>
      </w:tr>
    </w:tbl>
    <w:p>
      <w:pPr>
        <w:spacing w:after="0"/>
      </w:pPr>
    </w:p>
    <w:p>
      <w:pPr>
        <w:pStyle w:val="Heading1"/>
      </w:pPr>
      <w:r>
        <w:t>13. Owner Review Notes</w:t>
      </w:r>
    </w:p>
    <w:p>
      <w:r>
        <w:t>Use this section to record decisions, exceptions, implementation preferences, or questions for the next review pass.</w:t>
      </w:r>
    </w:p>
    <w:p>
      <w:r>
        <w:rPr>
          <w:b/>
          <w:color w:val="18324A"/>
        </w:rPr>
        <w:t>Decision / note 1</w:t>
      </w:r>
    </w:p>
    <w:p>
      <w:r>
        <w:t>_________________________________________________________________________________________________________</w:t>
      </w:r>
    </w:p>
    <w:p>
      <w:r>
        <w:t>_________________________________________________________________________________________________________</w:t>
      </w:r>
    </w:p>
    <w:p>
      <w:r>
        <w:rPr>
          <w:b/>
          <w:color w:val="18324A"/>
        </w:rPr>
        <w:t>Decision / note 2</w:t>
      </w:r>
    </w:p>
    <w:p>
      <w:r>
        <w:t>_________________________________________________________________________________________________________</w:t>
      </w:r>
    </w:p>
    <w:p>
      <w:r>
        <w:t>_________________________________________________________________________________________________________</w:t>
      </w:r>
    </w:p>
    <w:p>
      <w:r>
        <w:rPr>
          <w:b/>
          <w:color w:val="18324A"/>
        </w:rPr>
        <w:t>Decision / note 3</w:t>
      </w:r>
    </w:p>
    <w:p>
      <w:r>
        <w:t>_________________________________________________________________________________________________________</w:t>
      </w:r>
    </w:p>
    <w:p>
      <w:r>
        <w:t>_________________________________________________________________________________________________________</w:t>
      </w:r>
    </w:p>
    <w:p>
      <w:r>
        <w:rPr>
          <w:b/>
          <w:color w:val="18324A"/>
        </w:rPr>
        <w:t>Questions for follow-up</w:t>
      </w:r>
    </w:p>
    <w:p>
      <w:r>
        <w:t>_________________________________________________________________________________________________________</w:t>
      </w:r>
    </w:p>
    <w:p>
      <w:r>
        <w:t>_________________________________________________________________________________________________________</w:t>
      </w:r>
    </w:p>
    <w:p>
      <w:pPr>
        <w:pStyle w:val="Heading1"/>
      </w:pPr>
      <w:r>
        <w:t>Appendix A – Reviewed Source Facts</w:t>
      </w:r>
    </w:p>
    <w:tbl>
      <w:tblPr>
        <w:tblStyle w:val="TableGrid"/>
        <w:tblW w:type="auto" w:w="0"/>
        <w:jc w:val="center"/>
        <w:tblLook w:firstColumn="1" w:firstRow="1" w:lastColumn="0" w:lastRow="0" w:noHBand="0" w:noVBand="1" w:val="04A0"/>
      </w:tblPr>
      <w:tblGrid>
        <w:gridCol w:w="5112"/>
        <w:gridCol w:w="5112"/>
      </w:tblGrid>
      <w:tr>
        <w:tc>
          <w:tcPr>
            <w:tcW w:type="dxa" w:w="3024"/>
            <w:vAlign w:val="center"/>
            <w:shd w:fill="18324A"/>
          </w:tcPr>
          <w:p>
            <w:r/>
            <w:r>
              <w:rPr>
                <w:b/>
                <w:color w:val="FFFFFF"/>
                <w:sz w:val="18"/>
              </w:rPr>
              <w:t>Source fact</w:t>
            </w:r>
          </w:p>
        </w:tc>
        <w:tc>
          <w:tcPr>
            <w:tcW w:type="dxa" w:w="7200"/>
            <w:vAlign w:val="center"/>
            <w:shd w:fill="18324A"/>
          </w:tcPr>
          <w:p>
            <w:r/>
            <w:r>
              <w:rPr>
                <w:b/>
                <w:color w:val="FFFFFF"/>
                <w:sz w:val="18"/>
              </w:rPr>
              <w:t>Observed implementation</w:t>
            </w:r>
          </w:p>
        </w:tc>
      </w:tr>
      <w:tr>
        <w:tc>
          <w:tcPr>
            <w:tcW w:type="dxa" w:w="3024"/>
            <w:vAlign w:val="center"/>
          </w:tcPr>
          <w:p>
            <w:r/>
            <w:r>
              <w:rPr>
                <w:b w:val="0"/>
                <w:sz w:val="17"/>
              </w:rPr>
              <w:t>Root ownership</w:t>
            </w:r>
          </w:p>
        </w:tc>
        <w:tc>
          <w:tcPr>
            <w:tcW w:type="dxa" w:w="7200"/>
            <w:vAlign w:val="center"/>
          </w:tcPr>
          <w:p>
            <w:r/>
            <w:r>
              <w:rPr>
                <w:b w:val="0"/>
                <w:sz w:val="17"/>
              </w:rPr>
              <w:t>PPS_Receipt_PrinterApp creates @StateObject private var store = AppDataStore() and injects it as an environment object.</w:t>
            </w:r>
          </w:p>
        </w:tc>
      </w:tr>
      <w:tr>
        <w:tc>
          <w:tcPr>
            <w:tcW w:type="dxa" w:w="3024"/>
            <w:vAlign w:val="center"/>
          </w:tcPr>
          <w:p>
            <w:r/>
            <w:r>
              <w:rPr>
                <w:b w:val="0"/>
                <w:sz w:val="17"/>
              </w:rPr>
              <w:t>Published persisted state</w:t>
            </w:r>
          </w:p>
        </w:tc>
        <w:tc>
          <w:tcPr>
            <w:tcW w:type="dxa" w:w="7200"/>
            <w:vAlign w:val="center"/>
          </w:tcPr>
          <w:p>
            <w:r/>
            <w:r>
              <w:rPr>
                <w:b w:val="0"/>
                <w:sz w:val="17"/>
              </w:rPr>
              <w:t>Ten published collections/settings objects each trigger saveData() in didSet.</w:t>
            </w:r>
          </w:p>
        </w:tc>
      </w:tr>
      <w:tr>
        <w:tc>
          <w:tcPr>
            <w:tcW w:type="dxa" w:w="3024"/>
            <w:vAlign w:val="center"/>
          </w:tcPr>
          <w:p>
            <w:r/>
            <w:r>
              <w:rPr>
                <w:b w:val="0"/>
                <w:sz w:val="17"/>
              </w:rPr>
              <w:t>Snapshot file</w:t>
            </w:r>
          </w:p>
        </w:tc>
        <w:tc>
          <w:tcPr>
            <w:tcW w:type="dxa" w:w="7200"/>
            <w:vAlign w:val="center"/>
          </w:tcPr>
          <w:p>
            <w:r/>
            <w:r>
              <w:rPr>
                <w:b w:val="0"/>
                <w:sz w:val="17"/>
              </w:rPr>
              <w:t>pps-field-manager-data.json in the user Documents directory.</w:t>
            </w:r>
          </w:p>
        </w:tc>
      </w:tr>
      <w:tr>
        <w:tc>
          <w:tcPr>
            <w:tcW w:type="dxa" w:w="3024"/>
            <w:vAlign w:val="center"/>
          </w:tcPr>
          <w:p>
            <w:r/>
            <w:r>
              <w:rPr>
                <w:b w:val="0"/>
                <w:sz w:val="17"/>
              </w:rPr>
              <w:t>Write behavior</w:t>
            </w:r>
          </w:p>
        </w:tc>
        <w:tc>
          <w:tcPr>
            <w:tcW w:type="dxa" w:w="7200"/>
            <w:vAlign w:val="center"/>
          </w:tcPr>
          <w:p>
            <w:r/>
            <w:r>
              <w:rPr>
                <w:b w:val="0"/>
                <w:sz w:val="17"/>
              </w:rPr>
              <w:t>JSONEncoder + Data.write(options: [.atomic]).</w:t>
            </w:r>
          </w:p>
        </w:tc>
      </w:tr>
      <w:tr>
        <w:tc>
          <w:tcPr>
            <w:tcW w:type="dxa" w:w="3024"/>
            <w:vAlign w:val="center"/>
          </w:tcPr>
          <w:p>
            <w:r/>
            <w:r>
              <w:rPr>
                <w:b w:val="0"/>
                <w:sz w:val="17"/>
              </w:rPr>
              <w:t>Backward compatibility</w:t>
            </w:r>
          </w:p>
        </w:tc>
        <w:tc>
          <w:tcPr>
            <w:tcW w:type="dxa" w:w="7200"/>
            <w:vAlign w:val="center"/>
          </w:tcPr>
          <w:p>
            <w:r/>
            <w:r>
              <w:rPr>
                <w:b w:val="0"/>
                <w:sz w:val="17"/>
              </w:rPr>
              <w:t>decodeIfPresent defaults are present for newer fields and collections; required legacy fields still decode strictly.</w:t>
            </w:r>
          </w:p>
        </w:tc>
      </w:tr>
      <w:tr>
        <w:tc>
          <w:tcPr>
            <w:tcW w:type="dxa" w:w="3024"/>
            <w:vAlign w:val="center"/>
          </w:tcPr>
          <w:p>
            <w:r/>
            <w:r>
              <w:rPr>
                <w:b w:val="0"/>
                <w:sz w:val="17"/>
              </w:rPr>
              <w:t>Relationship styles</w:t>
            </w:r>
          </w:p>
        </w:tc>
        <w:tc>
          <w:tcPr>
            <w:tcW w:type="dxa" w:w="7200"/>
            <w:vAlign w:val="center"/>
          </w:tcPr>
          <w:p>
            <w:r/>
            <w:r>
              <w:rPr>
                <w:b w:val="0"/>
                <w:sz w:val="17"/>
              </w:rPr>
              <w:t>UUID references, business-number references, and employee-name strings coexist.</w:t>
            </w:r>
          </w:p>
        </w:tc>
      </w:tr>
      <w:tr>
        <w:tc>
          <w:tcPr>
            <w:tcW w:type="dxa" w:w="3024"/>
            <w:vAlign w:val="center"/>
          </w:tcPr>
          <w:p>
            <w:r/>
            <w:r>
              <w:rPr>
                <w:b w:val="0"/>
                <w:sz w:val="17"/>
              </w:rPr>
              <w:t>Numbering</w:t>
            </w:r>
          </w:p>
        </w:tc>
        <w:tc>
          <w:tcPr>
            <w:tcW w:type="dxa" w:w="7200"/>
            <w:vAlign w:val="center"/>
          </w:tcPr>
          <w:p>
            <w:r/>
            <w:r>
              <w:rPr>
                <w:b w:val="0"/>
                <w:sz w:val="17"/>
              </w:rPr>
              <w:t>One global customer counter and prefix/month-specific counters for operational documents.</w:t>
            </w:r>
          </w:p>
        </w:tc>
      </w:tr>
      <w:tr>
        <w:tc>
          <w:tcPr>
            <w:tcW w:type="dxa" w:w="3024"/>
            <w:vAlign w:val="center"/>
          </w:tcPr>
          <w:p>
            <w:r/>
            <w:r>
              <w:rPr>
                <w:b w:val="0"/>
                <w:sz w:val="17"/>
              </w:rPr>
              <w:t>Store size</w:t>
            </w:r>
          </w:p>
        </w:tc>
        <w:tc>
          <w:tcPr>
            <w:tcW w:type="dxa" w:w="7200"/>
            <w:vAlign w:val="center"/>
          </w:tcPr>
          <w:p>
            <w:r/>
            <w:r>
              <w:rPr>
                <w:b w:val="0"/>
                <w:sz w:val="17"/>
              </w:rPr>
              <w:t>AppDataStore.swift approximately 953 lines; Models.swift approximately 1,014 lines.</w:t>
            </w:r>
          </w:p>
        </w:tc>
      </w:tr>
    </w:tbl>
    <w:p>
      <w:pPr>
        <w:spacing w:after="0"/>
      </w:pPr>
    </w:p>
    <w:p>
      <w:pPr>
        <w:pStyle w:val="SmallNote"/>
      </w:pPr>
      <w:r>
        <w:t>This review is an architectural assessment of the supplied source archive. It does not claim an Xcode build was executed in this Linux review environment.</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6"/>
      </w:rPr>
      <w:t>PFSS Phase 2 Data Architecture Review  |  Confidential Working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6666"/>
        <w:sz w:val="16"/>
      </w:rPr>
      <w:t>PFSS • Stability Audit • Phase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80"/>
    </w:pPr>
    <w:rPr>
      <w:rFonts w:ascii="Aptos Mono" w:hAnsi="Aptos Mono"/>
      <w:sz w:val="17"/>
    </w:rPr>
  </w:style>
  <w:style w:type="paragraph" w:customStyle="1" w:styleId="SmallNote">
    <w:name w:val="Small Note"/>
    <w:rPr>
      <w:rFonts w:ascii="Aptos" w:hAnsi="Aptos"/>
      <w:i/>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