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PFSS Stability Pass</w:t>
        <w:br/>
        <w:t>Phase 4 – Documentation &amp; Code Quality Review</w:t>
      </w:r>
    </w:p>
    <w:p>
      <w:pPr>
        <w:pStyle w:val="Heading2"/>
      </w:pPr>
      <w:r>
        <w:t>Executive Summary</w:t>
      </w:r>
    </w:p>
    <w:p>
      <w:r>
        <w:t>Objective: Evaluate maintainability, documentation quality, project organization, naming consistency, Swift best practices, file complexity, reusable components, and architectural consistency. This review is intended to identify actions that improve long-term maintainability while protecting Version 1.0 delivery.</w:t>
      </w:r>
    </w:p>
    <w:p>
      <w:pPr>
        <w:pStyle w:val="Heading2"/>
      </w:pPr>
      <w:r>
        <w:t>Overall Assessment</w:t>
      </w:r>
    </w:p>
    <w:tbl>
      <w:tblPr>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Grade</w:t>
            </w:r>
          </w:p>
        </w:tc>
        <w:tc>
          <w:tcPr>
            <w:tcW w:type="dxa" w:w="2880"/>
          </w:tcPr>
          <w:p>
            <w:r>
              <w:t>Summary</w:t>
            </w:r>
          </w:p>
        </w:tc>
      </w:tr>
      <w:tr>
        <w:tc>
          <w:tcPr>
            <w:tcW w:type="dxa" w:w="2880"/>
          </w:tcPr>
          <w:p>
            <w:r>
              <w:t>Project Organization</w:t>
            </w:r>
          </w:p>
        </w:tc>
        <w:tc>
          <w:tcPr>
            <w:tcW w:type="dxa" w:w="2880"/>
          </w:tcPr>
          <w:p>
            <w:r>
              <w:t>A-</w:t>
            </w:r>
          </w:p>
        </w:tc>
        <w:tc>
          <w:tcPr>
            <w:tcW w:type="dxa" w:w="2880"/>
          </w:tcPr>
          <w:p>
            <w:r>
              <w:t>Logical overall structure with opportunities to modularize.</w:t>
            </w:r>
          </w:p>
        </w:tc>
      </w:tr>
      <w:tr>
        <w:tc>
          <w:tcPr>
            <w:tcW w:type="dxa" w:w="2880"/>
          </w:tcPr>
          <w:p>
            <w:r>
              <w:t>Documentation</w:t>
            </w:r>
          </w:p>
        </w:tc>
        <w:tc>
          <w:tcPr>
            <w:tcW w:type="dxa" w:w="2880"/>
          </w:tcPr>
          <w:p>
            <w:r>
              <w:t>B</w:t>
            </w:r>
          </w:p>
        </w:tc>
        <w:tc>
          <w:tcPr>
            <w:tcW w:type="dxa" w:w="2880"/>
          </w:tcPr>
          <w:p>
            <w:r>
              <w:t>Core intent understandable; additional inline/API documentation recommended.</w:t>
            </w:r>
          </w:p>
        </w:tc>
      </w:tr>
      <w:tr>
        <w:tc>
          <w:tcPr>
            <w:tcW w:type="dxa" w:w="2880"/>
          </w:tcPr>
          <w:p>
            <w:r>
              <w:t>Naming Consistency</w:t>
            </w:r>
          </w:p>
        </w:tc>
        <w:tc>
          <w:tcPr>
            <w:tcW w:type="dxa" w:w="2880"/>
          </w:tcPr>
          <w:p>
            <w:r>
              <w:t>A-</w:t>
            </w:r>
          </w:p>
        </w:tc>
        <w:tc>
          <w:tcPr>
            <w:tcW w:type="dxa" w:w="2880"/>
          </w:tcPr>
          <w:p>
            <w:r>
              <w:t>Generally consistent and descriptive.</w:t>
            </w:r>
          </w:p>
        </w:tc>
      </w:tr>
      <w:tr>
        <w:tc>
          <w:tcPr>
            <w:tcW w:type="dxa" w:w="2880"/>
          </w:tcPr>
          <w:p>
            <w:r>
              <w:t>Swift Practices</w:t>
            </w:r>
          </w:p>
        </w:tc>
        <w:tc>
          <w:tcPr>
            <w:tcW w:type="dxa" w:w="2880"/>
          </w:tcPr>
          <w:p>
            <w:r>
              <w:t>B+</w:t>
            </w:r>
          </w:p>
        </w:tc>
        <w:tc>
          <w:tcPr>
            <w:tcW w:type="dxa" w:w="2880"/>
          </w:tcPr>
          <w:p>
            <w:r>
              <w:t>Solid patterns with opportunities for further separation and access control.</w:t>
            </w:r>
          </w:p>
        </w:tc>
      </w:tr>
      <w:tr>
        <w:tc>
          <w:tcPr>
            <w:tcW w:type="dxa" w:w="2880"/>
          </w:tcPr>
          <w:p>
            <w:r>
              <w:t>Maintainability</w:t>
            </w:r>
          </w:p>
        </w:tc>
        <w:tc>
          <w:tcPr>
            <w:tcW w:type="dxa" w:w="2880"/>
          </w:tcPr>
          <w:p>
            <w:r>
              <w:t>B+</w:t>
            </w:r>
          </w:p>
        </w:tc>
        <w:tc>
          <w:tcPr>
            <w:tcW w:type="dxa" w:w="2880"/>
          </w:tcPr>
          <w:p>
            <w:r>
              <w:t>Several larger files are candidates for decomposition.</w:t>
            </w:r>
          </w:p>
        </w:tc>
      </w:tr>
      <w:tr>
        <w:tc>
          <w:tcPr>
            <w:tcW w:type="dxa" w:w="2880"/>
          </w:tcPr>
          <w:p>
            <w:r>
              <w:t>Architecture Consistency</w:t>
            </w:r>
          </w:p>
        </w:tc>
        <w:tc>
          <w:tcPr>
            <w:tcW w:type="dxa" w:w="2880"/>
          </w:tcPr>
          <w:p>
            <w:r>
              <w:t>A-</w:t>
            </w:r>
          </w:p>
        </w:tc>
        <w:tc>
          <w:tcPr>
            <w:tcW w:type="dxa" w:w="2880"/>
          </w:tcPr>
          <w:p>
            <w:r>
              <w:t>Architecture remains coherent across the project.</w:t>
            </w:r>
          </w:p>
        </w:tc>
      </w:tr>
    </w:tbl>
    <w:p>
      <w:pPr>
        <w:pStyle w:val="Heading2"/>
      </w:pPr>
      <w:r>
        <w:t>Major Findings</w:t>
      </w:r>
    </w:p>
    <w:p>
      <w:pPr>
        <w:pStyle w:val="ListBullet"/>
      </w:pPr>
      <w:r>
        <w:t>Project organization supports future modularization.</w:t>
      </w:r>
    </w:p>
    <w:p>
      <w:pPr>
        <w:pStyle w:val="ListBullet"/>
      </w:pPr>
      <w:r>
        <w:t>Large Swift files should be incrementally split after Version 1.0.</w:t>
      </w:r>
    </w:p>
    <w:p>
      <w:pPr>
        <w:pStyle w:val="ListBullet"/>
      </w:pPr>
      <w:r>
        <w:t>Continue documenting business engines and complex workflows.</w:t>
      </w:r>
    </w:p>
    <w:p>
      <w:pPr>
        <w:pStyle w:val="ListBullet"/>
      </w:pPr>
      <w:r>
        <w:t>Shared SwiftUI components can reduce duplication and improve consistency.</w:t>
      </w:r>
    </w:p>
    <w:p>
      <w:pPr>
        <w:pStyle w:val="ListBullet"/>
      </w:pPr>
      <w:r>
        <w:t>Maintain the current architectural direction while avoiding unnecessary pre-V1 refactors.</w:t>
      </w:r>
    </w:p>
    <w:p>
      <w:pPr>
        <w:pStyle w:val="Heading2"/>
      </w:pPr>
      <w:r>
        <w:t>Largest Swift Files (Observed)</w:t>
      </w:r>
    </w:p>
    <w:tbl>
      <w:tblPr>
        <w:tblW w:type="auto" w:w="0"/>
        <w:tblLook w:firstColumn="1" w:firstRow="1" w:lastColumn="0" w:lastRow="0" w:noHBand="0" w:noVBand="1" w:val="04A0"/>
      </w:tblPr>
      <w:tblGrid>
        <w:gridCol w:w="4320"/>
        <w:gridCol w:w="4320"/>
      </w:tblGrid>
      <w:tr>
        <w:tc>
          <w:tcPr>
            <w:tcW w:type="dxa" w:w="4320"/>
          </w:tcPr>
          <w:p>
            <w:r>
              <w:t>File</w:t>
            </w:r>
          </w:p>
        </w:tc>
        <w:tc>
          <w:tcPr>
            <w:tcW w:type="dxa" w:w="4320"/>
          </w:tcPr>
          <w:p>
            <w:r>
              <w:t>Approx. Lines</w:t>
            </w:r>
          </w:p>
        </w:tc>
      </w:tr>
      <w:tr>
        <w:tc>
          <w:tcPr>
            <w:tcW w:type="dxa" w:w="4320"/>
          </w:tcPr>
          <w:p>
            <w:r>
              <w:t>TechnicianDailyAgendaView.swift</w:t>
            </w:r>
          </w:p>
        </w:tc>
        <w:tc>
          <w:tcPr>
            <w:tcW w:type="dxa" w:w="4320"/>
          </w:tcPr>
          <w:p>
            <w:r>
              <w:t>1269</w:t>
            </w:r>
          </w:p>
        </w:tc>
      </w:tr>
      <w:tr>
        <w:tc>
          <w:tcPr>
            <w:tcW w:type="dxa" w:w="4320"/>
          </w:tcPr>
          <w:p>
            <w:r>
              <w:t>InvoicePDFRenderer.swift</w:t>
            </w:r>
          </w:p>
        </w:tc>
        <w:tc>
          <w:tcPr>
            <w:tcW w:type="dxa" w:w="4320"/>
          </w:tcPr>
          <w:p>
            <w:r>
              <w:t>1064</w:t>
            </w:r>
          </w:p>
        </w:tc>
      </w:tr>
      <w:tr>
        <w:tc>
          <w:tcPr>
            <w:tcW w:type="dxa" w:w="4320"/>
          </w:tcPr>
          <w:p>
            <w:r>
              <w:t>EstimatePDFRenderer.swift</w:t>
            </w:r>
          </w:p>
        </w:tc>
        <w:tc>
          <w:tcPr>
            <w:tcW w:type="dxa" w:w="4320"/>
          </w:tcPr>
          <w:p>
            <w:r>
              <w:t>1041</w:t>
            </w:r>
          </w:p>
        </w:tc>
      </w:tr>
      <w:tr>
        <w:tc>
          <w:tcPr>
            <w:tcW w:type="dxa" w:w="4320"/>
          </w:tcPr>
          <w:p>
            <w:r>
              <w:t>Models.swift</w:t>
            </w:r>
          </w:p>
        </w:tc>
        <w:tc>
          <w:tcPr>
            <w:tcW w:type="dxa" w:w="4320"/>
          </w:tcPr>
          <w:p>
            <w:r>
              <w:t>1015</w:t>
            </w:r>
          </w:p>
        </w:tc>
      </w:tr>
      <w:tr>
        <w:tc>
          <w:tcPr>
            <w:tcW w:type="dxa" w:w="4320"/>
          </w:tcPr>
          <w:p>
            <w:r>
              <w:t>AppDataStore.swift</w:t>
            </w:r>
          </w:p>
        </w:tc>
        <w:tc>
          <w:tcPr>
            <w:tcW w:type="dxa" w:w="4320"/>
          </w:tcPr>
          <w:p>
            <w:r>
              <w:t>954</w:t>
            </w:r>
          </w:p>
        </w:tc>
      </w:tr>
      <w:tr>
        <w:tc>
          <w:tcPr>
            <w:tcW w:type="dxa" w:w="4320"/>
          </w:tcPr>
          <w:p>
            <w:r>
              <w:t>OperationsView.swift</w:t>
            </w:r>
          </w:p>
        </w:tc>
        <w:tc>
          <w:tcPr>
            <w:tcW w:type="dxa" w:w="4320"/>
          </w:tcPr>
          <w:p>
            <w:r>
              <w:t>903</w:t>
            </w:r>
          </w:p>
        </w:tc>
      </w:tr>
      <w:tr>
        <w:tc>
          <w:tcPr>
            <w:tcW w:type="dxa" w:w="4320"/>
          </w:tcPr>
          <w:p>
            <w:r>
              <w:t>JobDetailView.swift</w:t>
            </w:r>
          </w:p>
        </w:tc>
        <w:tc>
          <w:tcPr>
            <w:tcW w:type="dxa" w:w="4320"/>
          </w:tcPr>
          <w:p>
            <w:r>
              <w:t>891</w:t>
            </w:r>
          </w:p>
        </w:tc>
      </w:tr>
      <w:tr>
        <w:tc>
          <w:tcPr>
            <w:tcW w:type="dxa" w:w="4320"/>
          </w:tcPr>
          <w:p>
            <w:r>
              <w:t>SchedulingEngine.swift</w:t>
            </w:r>
          </w:p>
        </w:tc>
        <w:tc>
          <w:tcPr>
            <w:tcW w:type="dxa" w:w="4320"/>
          </w:tcPr>
          <w:p>
            <w:r>
              <w:t>774</w:t>
            </w:r>
          </w:p>
        </w:tc>
      </w:tr>
      <w:tr>
        <w:tc>
          <w:tcPr>
            <w:tcW w:type="dxa" w:w="4320"/>
          </w:tcPr>
          <w:p>
            <w:r>
              <w:t>JobsView.swift</w:t>
            </w:r>
          </w:p>
        </w:tc>
        <w:tc>
          <w:tcPr>
            <w:tcW w:type="dxa" w:w="4320"/>
          </w:tcPr>
          <w:p>
            <w:r>
              <w:t>580</w:t>
            </w:r>
          </w:p>
        </w:tc>
      </w:tr>
      <w:tr>
        <w:tc>
          <w:tcPr>
            <w:tcW w:type="dxa" w:w="4320"/>
          </w:tcPr>
          <w:p>
            <w:r>
              <w:t>DispatchDecisionEngine.swift</w:t>
            </w:r>
          </w:p>
        </w:tc>
        <w:tc>
          <w:tcPr>
            <w:tcW w:type="dxa" w:w="4320"/>
          </w:tcPr>
          <w:p>
            <w:r>
              <w:t>558</w:t>
            </w:r>
          </w:p>
        </w:tc>
      </w:tr>
    </w:tbl>
    <w:p>
      <w:pPr>
        <w:pStyle w:val="Heading2"/>
      </w:pPr>
      <w:r>
        <w:t>Documentation Coverage Matrix</w:t>
      </w:r>
    </w:p>
    <w:tbl>
      <w:tblPr>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Coverage</w:t>
            </w:r>
          </w:p>
        </w:tc>
        <w:tc>
          <w:tcPr>
            <w:tcW w:type="dxa" w:w="2880"/>
          </w:tcPr>
          <w:p>
            <w:r>
              <w:t>Recommendation</w:t>
            </w:r>
          </w:p>
        </w:tc>
      </w:tr>
      <w:tr>
        <w:tc>
          <w:tcPr>
            <w:tcW w:type="dxa" w:w="2880"/>
          </w:tcPr>
          <w:p>
            <w:r>
              <w:t>Models</w:t>
            </w:r>
          </w:p>
        </w:tc>
        <w:tc>
          <w:tcPr>
            <w:tcW w:type="dxa" w:w="2880"/>
          </w:tcPr>
          <w:p>
            <w:r>
              <w:t>Good</w:t>
            </w:r>
          </w:p>
        </w:tc>
        <w:tc>
          <w:tcPr>
            <w:tcW w:type="dxa" w:w="2880"/>
          </w:tcPr>
          <w:p>
            <w:r>
              <w:t>Add documentation for business intent.</w:t>
            </w:r>
          </w:p>
        </w:tc>
      </w:tr>
      <w:tr>
        <w:tc>
          <w:tcPr>
            <w:tcW w:type="dxa" w:w="2880"/>
          </w:tcPr>
          <w:p>
            <w:r>
              <w:t>Views</w:t>
            </w:r>
          </w:p>
        </w:tc>
        <w:tc>
          <w:tcPr>
            <w:tcW w:type="dxa" w:w="2880"/>
          </w:tcPr>
          <w:p>
            <w:r>
              <w:t>Moderate</w:t>
            </w:r>
          </w:p>
        </w:tc>
        <w:tc>
          <w:tcPr>
            <w:tcW w:type="dxa" w:w="2880"/>
          </w:tcPr>
          <w:p>
            <w:r>
              <w:t>Document complex screens and navigation.</w:t>
            </w:r>
          </w:p>
        </w:tc>
      </w:tr>
      <w:tr>
        <w:tc>
          <w:tcPr>
            <w:tcW w:type="dxa" w:w="2880"/>
          </w:tcPr>
          <w:p>
            <w:r>
              <w:t>Business Engines</w:t>
            </w:r>
          </w:p>
        </w:tc>
        <w:tc>
          <w:tcPr>
            <w:tcW w:type="dxa" w:w="2880"/>
          </w:tcPr>
          <w:p>
            <w:r>
              <w:t>Moderate</w:t>
            </w:r>
          </w:p>
        </w:tc>
        <w:tc>
          <w:tcPr>
            <w:tcW w:type="dxa" w:w="2880"/>
          </w:tcPr>
          <w:p>
            <w:r>
              <w:t>Add purpose, inputs, outputs, side effects.</w:t>
            </w:r>
          </w:p>
        </w:tc>
      </w:tr>
      <w:tr>
        <w:tc>
          <w:tcPr>
            <w:tcW w:type="dxa" w:w="2880"/>
          </w:tcPr>
          <w:p>
            <w:r>
              <w:t>Stores</w:t>
            </w:r>
          </w:p>
        </w:tc>
        <w:tc>
          <w:tcPr>
            <w:tcW w:type="dxa" w:w="2880"/>
          </w:tcPr>
          <w:p>
            <w:r>
              <w:t>Good</w:t>
            </w:r>
          </w:p>
        </w:tc>
        <w:tc>
          <w:tcPr>
            <w:tcW w:type="dxa" w:w="2880"/>
          </w:tcPr>
          <w:p>
            <w:r>
              <w:t>Clarify ownership boundaries.</w:t>
            </w:r>
          </w:p>
        </w:tc>
      </w:tr>
      <w:tr>
        <w:tc>
          <w:tcPr>
            <w:tcW w:type="dxa" w:w="2880"/>
          </w:tcPr>
          <w:p>
            <w:r>
              <w:t>Utilities</w:t>
            </w:r>
          </w:p>
        </w:tc>
        <w:tc>
          <w:tcPr>
            <w:tcW w:type="dxa" w:w="2880"/>
          </w:tcPr>
          <w:p>
            <w:r>
              <w:t>Moderate</w:t>
            </w:r>
          </w:p>
        </w:tc>
        <w:tc>
          <w:tcPr>
            <w:tcW w:type="dxa" w:w="2880"/>
          </w:tcPr>
          <w:p>
            <w:r>
              <w:t>Document reusable helpers.</w:t>
            </w:r>
          </w:p>
        </w:tc>
      </w:tr>
    </w:tbl>
    <w:p>
      <w:pPr>
        <w:pStyle w:val="Heading2"/>
      </w:pPr>
      <w:r>
        <w:t>Refactoring Priorities</w:t>
      </w:r>
    </w:p>
    <w:p>
      <w:pPr>
        <w:pStyle w:val="Heading3"/>
      </w:pPr>
      <w:r>
        <w:t>Before Version 1.0</w:t>
      </w:r>
    </w:p>
    <w:p>
      <w:pPr>
        <w:pStyle w:val="ListBullet"/>
      </w:pPr>
      <w:r>
        <w:t>Improve inline documentation for engines.</w:t>
      </w:r>
    </w:p>
    <w:p>
      <w:pPr>
        <w:pStyle w:val="ListBullet"/>
      </w:pPr>
      <w:r>
        <w:t>Reduce duplication in reusable SwiftUI components where low risk.</w:t>
      </w:r>
    </w:p>
    <w:p>
      <w:pPr>
        <w:pStyle w:val="ListBullet"/>
      </w:pPr>
      <w:r>
        <w:t>Document architectural ownership decisions.</w:t>
      </w:r>
    </w:p>
    <w:p>
      <w:pPr>
        <w:pStyle w:val="Heading3"/>
      </w:pPr>
      <w:r>
        <w:t>After Version 1.0</w:t>
      </w:r>
    </w:p>
    <w:p>
      <w:pPr>
        <w:pStyle w:val="ListBullet"/>
      </w:pPr>
      <w:r>
        <w:t>Split large files into focused modules.</w:t>
      </w:r>
    </w:p>
    <w:p>
      <w:pPr>
        <w:pStyle w:val="ListBullet"/>
      </w:pPr>
      <w:r>
        <w:t>Expand documentation standards across the project.</w:t>
      </w:r>
    </w:p>
    <w:p>
      <w:pPr>
        <w:pStyle w:val="ListBullet"/>
      </w:pPr>
      <w:r>
        <w:t>Adopt formal engineering handbook and coding standards.</w:t>
      </w:r>
    </w:p>
    <w:p>
      <w:pPr>
        <w:pStyle w:val="ListBullet"/>
      </w:pPr>
      <w:r>
        <w:t>Continue modularizing domain stores.</w:t>
      </w:r>
    </w:p>
    <w:p>
      <w:pPr>
        <w:pStyle w:val="Heading2"/>
      </w:pPr>
      <w:r>
        <w:t>Technical Debt Register</w:t>
      </w:r>
    </w:p>
    <w:tbl>
      <w:tblPr>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Priority</w:t>
            </w:r>
          </w:p>
        </w:tc>
        <w:tc>
          <w:tcPr>
            <w:tcW w:type="dxa" w:w="2160"/>
          </w:tcPr>
          <w:p>
            <w:r>
              <w:t>Status</w:t>
            </w:r>
          </w:p>
        </w:tc>
        <w:tc>
          <w:tcPr>
            <w:tcW w:type="dxa" w:w="2160"/>
          </w:tcPr>
          <w:p>
            <w:r>
              <w:t>Description</w:t>
            </w:r>
          </w:p>
        </w:tc>
      </w:tr>
      <w:tr>
        <w:tc>
          <w:tcPr>
            <w:tcW w:type="dxa" w:w="2160"/>
          </w:tcPr>
          <w:p>
            <w:r>
              <w:t>TD-007</w:t>
            </w:r>
          </w:p>
        </w:tc>
        <w:tc>
          <w:tcPr>
            <w:tcW w:type="dxa" w:w="2160"/>
          </w:tcPr>
          <w:p>
            <w:r>
              <w:t>Medium</w:t>
            </w:r>
          </w:p>
        </w:tc>
        <w:tc>
          <w:tcPr>
            <w:tcW w:type="dxa" w:w="2160"/>
          </w:tcPr>
          <w:p>
            <w:r>
              <w:t>Open</w:t>
            </w:r>
          </w:p>
        </w:tc>
        <w:tc>
          <w:tcPr>
            <w:tcW w:type="dxa" w:w="2160"/>
          </w:tcPr>
          <w:p>
            <w:r>
              <w:t>Large files ready for decomposition.</w:t>
            </w:r>
          </w:p>
        </w:tc>
      </w:tr>
      <w:tr>
        <w:tc>
          <w:tcPr>
            <w:tcW w:type="dxa" w:w="2160"/>
          </w:tcPr>
          <w:p>
            <w:r>
              <w:t>TD-008</w:t>
            </w:r>
          </w:p>
        </w:tc>
        <w:tc>
          <w:tcPr>
            <w:tcW w:type="dxa" w:w="2160"/>
          </w:tcPr>
          <w:p>
            <w:r>
              <w:t>Medium</w:t>
            </w:r>
          </w:p>
        </w:tc>
        <w:tc>
          <w:tcPr>
            <w:tcW w:type="dxa" w:w="2160"/>
          </w:tcPr>
          <w:p>
            <w:r>
              <w:t>Open</w:t>
            </w:r>
          </w:p>
        </w:tc>
        <w:tc>
          <w:tcPr>
            <w:tcW w:type="dxa" w:w="2160"/>
          </w:tcPr>
          <w:p>
            <w:r>
              <w:t>Increase API and engine documentation.</w:t>
            </w:r>
          </w:p>
        </w:tc>
      </w:tr>
      <w:tr>
        <w:tc>
          <w:tcPr>
            <w:tcW w:type="dxa" w:w="2160"/>
          </w:tcPr>
          <w:p>
            <w:r>
              <w:t>TD-009</w:t>
            </w:r>
          </w:p>
        </w:tc>
        <w:tc>
          <w:tcPr>
            <w:tcW w:type="dxa" w:w="2160"/>
          </w:tcPr>
          <w:p>
            <w:r>
              <w:t>Low</w:t>
            </w:r>
          </w:p>
        </w:tc>
        <w:tc>
          <w:tcPr>
            <w:tcW w:type="dxa" w:w="2160"/>
          </w:tcPr>
          <w:p>
            <w:r>
              <w:t>Open</w:t>
            </w:r>
          </w:p>
        </w:tc>
        <w:tc>
          <w:tcPr>
            <w:tcW w:type="dxa" w:w="2160"/>
          </w:tcPr>
          <w:p>
            <w:r>
              <w:t>Consolidate shared UI components.</w:t>
            </w:r>
          </w:p>
        </w:tc>
      </w:tr>
      <w:tr>
        <w:tc>
          <w:tcPr>
            <w:tcW w:type="dxa" w:w="2160"/>
          </w:tcPr>
          <w:p>
            <w:r>
              <w:t>TD-010</w:t>
            </w:r>
          </w:p>
        </w:tc>
        <w:tc>
          <w:tcPr>
            <w:tcW w:type="dxa" w:w="2160"/>
          </w:tcPr>
          <w:p>
            <w:r>
              <w:t>Low</w:t>
            </w:r>
          </w:p>
        </w:tc>
        <w:tc>
          <w:tcPr>
            <w:tcW w:type="dxa" w:w="2160"/>
          </w:tcPr>
          <w:p>
            <w:r>
              <w:t>Open</w:t>
            </w:r>
          </w:p>
        </w:tc>
        <w:tc>
          <w:tcPr>
            <w:tcW w:type="dxa" w:w="2160"/>
          </w:tcPr>
          <w:p>
            <w:r>
              <w:t>Formalize coding/documentation standards.</w:t>
            </w:r>
          </w:p>
        </w:tc>
      </w:tr>
    </w:tbl>
    <w:p>
      <w:pPr>
        <w:pStyle w:val="Heading2"/>
      </w:pPr>
      <w:r>
        <w:t>Executive Conclusion</w:t>
      </w:r>
    </w:p>
    <w:p>
      <w:r>
        <w:t>The codebase demonstrates a healthy architectural direction and is maintainable for continued Version 1.0 development. The primary opportunities are documentation depth, decomposition of larger files after release, and continued standardization of reusable components. No findings suggest a need for major architectural changes before Version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