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75B5" w:sz="10" w:space="1"/>
        </w:pBdr>
        <w:spacing w:after="180"/>
        <w:jc w:val="center"/>
      </w:pPr>
      <w:r>
        <w:rPr>
          <w:rFonts w:ascii="Arial" w:cs="Arial" w:eastAsia="Arial" w:hAnsi="Arial"/>
          <w:b/>
          <w:bCs/>
          <w:color w:val="17365D"/>
          <w:sz w:val="36"/>
          <w:szCs w:val="36"/>
        </w:rPr>
        <w:t xml:space="preserve">채널 및 고객등급별 반품 분석</w:t>
      </w:r>
    </w:p>
    <w:p>
      <w:p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반품 사유, 채널, 고객등급을 교차 분석해 VIPRetention과 CS 개선 근거를 제공한다.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ID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SP09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sharepoint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Analysis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업무 기준일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2026-05-26 KST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한유진 / 그로스 분석가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권한 대상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Workshop-Participants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키워드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Platinum, MobileApp, OfflineStore, NotAsDescribed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전체 분포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반품 1,000건은 LateDelivery/NotAsDescribed/ChangedMind/Damaged 각 200건, SizeIssue 199건, 사유 결측 1건(R00011)이며 MobileApp과 OfflineStore에 각 500건 집중됐다.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고객등급 해석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Gold와 Bronze가 각각 500건으로 관측됐으며, Platinum 사례는 별도 고객 여정 근거와 함께 검토한다.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품질 주의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R00011의 return_reason 결측은 Unknown으로 임의 치환하지 않고 원본 확인 상태를 표시한다.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조치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NotAsDescribed는 상품 상세 설명 개선, LateDelivery는 배송 약속/추적 공지 개선으로 분리한다.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근거 및 사용 주의</w:t>
      </w:r>
    </w:p>
    <w:p>
      <w:pPr>
        <w:spacing w:after="120" w:line="32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본 문서는 Track1 샘플 데이터와 연결되는 가상 워크숍 콘텐츠다. 실제 고객, 임직원 또는 운영 사실을 포함하지 않는다.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수치는 FabricIQ 기준값과 원본 행을 다시 확인하고, 미해결 품질 이슈가 있으면 경고와 함께 인용한다.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Track2 Sample | SP09 | 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채널 및 고객등급별 반품 분석</dc:title>
  <dc:subject>Analysis</dc:subject>
  <dc:creator>한유진</dc:creator>
  <cp:keywords>Platinum, MobileApp, OfflineStore, NotAsDescribed</cp:keywords>
  <dc:description>반품 사유, 채널, 고객등급을 교차 분석해 VIPRetention과 CS 개선 근거를 제공한다.</dc:description>
  <cp:lastModifiedBy>한유진</cp:lastModifiedBy>
  <cp:revision>1</cp:revision>
  <dcterms:created xsi:type="dcterms:W3CDTF">2026-07-16T16:58:47.626Z</dcterms:created>
  <dcterms:modified xsi:type="dcterms:W3CDTF">2026-07-16T16:58:47.626Z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