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채널 및 고객등급별 반품 심층 분석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반품 사유 5종을 채널과 고객등급(Bronze/Silver/Gold/Platinum) 축으로 세분화해 CS·상품·물류 개선 우선순위를 도출한다.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SP13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sharepoint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Analysis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2026-06-02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한유진 / 그로스 분석가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ChangedMind, Damaged, SizeIssue, Gold, Silver, Bronze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표본 정의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반품 1,000건은 LateDelivery/NotAsDescribed/ChangedMind/Damaged 각 200건, SizeIssue 199건, 사유 결측 1건(R00011)이며 MobileApp과 OfflineStore에 각 500건 집중됐다.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고객 1,200명은 Bronze/Silver/Gold/Platinum 각 300명이다. 대표 고객: C00002 Silver, C00003 Platinum, C00004 Gold, C00005 Bronze. C00007은 customer_segment 결측으로 등급 집계에서 별도 표시한다.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채널·등급 교차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반품 1,000건은 MobileApp과 OfflineStore에 각 500건 집중됐고 Gold와 Bronze 등급이 각 500건을 차지한다. Silver/Platinum 사례는 소량이지만 VIPRetention 여정 근거와 함께 검토한다.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MobileApp 반품은 SizeIssue/NotAsDescribed 비중이 높고, OfflineStore는 Damaged/LateDelivery 비중이 높은 것으로 관측된다.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사유별 조치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NotAsDescribed는 상품 상세 개선, SizeIssue는 사이즈 가이드 보강, Damaged는 포장·물류 점검, ChangedMind는 반품 정책 커뮤니케이션으로 분리한다.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품질 주의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R00011 사유 결측은 Unknown 치환 없이 원본 확인 상태로 표시하고 등급 결측 고객(C00007)은 별도 버킷으로 집계한다.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SP13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채널 및 고객등급별 반품 심층 분석</dc:title>
  <dc:subject>Analysis</dc:subject>
  <dc:creator>한유진</dc:creator>
  <cp:keywords>ChangedMind, Damaged, SizeIssue, Gold, Silver, Bronze</cp:keywords>
  <dc:description>반품 사유 5종을 채널과 고객등급(Bronze/Silver/Gold/Platinum) 축으로 세분화해 CS·상품·물류 개선 우선순위를 도출한다.</dc:description>
  <cp:lastModifiedBy>한유진</cp:lastModifiedBy>
  <cp:revision>1</cp:revision>
  <dcterms:created xsi:type="dcterms:W3CDTF">2026-07-16T16:58:47.646Z</dcterms:created>
  <dcterms:modified xsi:type="dcterms:W3CDTF">2026-07-16T16:58:47.646Z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