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75B5" w:sz="10" w:space="1"/>
        </w:pBdr>
        <w:spacing w:after="180"/>
        <w:jc w:val="center"/>
      </w:pPr>
      <w:r>
        <w:rPr>
          <w:rFonts w:ascii="Arial" w:cs="Arial" w:eastAsia="Arial" w:hAnsi="Arial"/>
          <w:b/>
          <w:bCs/>
          <w:color w:val="17365D"/>
          <w:sz w:val="36"/>
          <w:szCs w:val="36"/>
        </w:rPr>
        <w:t xml:space="preserve">Platinum 고객 DailyTee Cotton 반품 미팅 노트</w:t>
      </w:r>
    </w:p>
    <w:p>
      <w:p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Platinum 고객의 DailyTee Cotton 반품 사례를 VIPRetention 관점에서 검토한다.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ID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OD01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onedrive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Meeting Notes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업무 기준일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2026-05-22 KST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송하늘 / CRM 리드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권한 대상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Workshop-Participants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키워드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Platinum, DailyTee Cotton, NotAsDescribed, VIPRetention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참석자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CRM, CS, 상품, 데이터 품질 담당자가 참석했다.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논의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반품 1,000건은 LateDelivery/NotAsDescribed/ChangedMind/Damaged 각 200건, SizeIssue 199건, 사유 결측 1건(R00011)이며 MobileApp과 OfflineStore에 각 500건 집중됐다.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DailyTee Cotton의 설명 불일치와 배송 경험을 분리해 확인한다.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결정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고객 보상 전에 주문/배송/반품 원본을 확인하고 VIPRetention 접촉 이력과 중복되지 않게 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후속 조치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CS는 VOC 원문, 상품팀은 상세 페이지 변경안, 데이터팀은 R00011 결측 영향도를 공유한다.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근거 및 사용 주의</w:t>
      </w:r>
    </w:p>
    <w:p>
      <w:pPr>
        <w:spacing w:after="120" w:line="32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본 문서는 Track1 샘플 데이터와 연결되는 가상 워크숍 콘텐츠다. 실제 고객, 임직원 또는 운영 사실을 포함하지 않는다.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수치는 FabricIQ 기준값과 원본 행을 다시 확인하고, 미해결 품질 이슈가 있으면 경고와 함께 인용한다.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Track2 Sample | OD01 | 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Platinum 고객 DailyTee Cotton 반품 미팅 노트</dc:title>
  <dc:subject>Meeting Notes</dc:subject>
  <dc:creator>송하늘</dc:creator>
  <cp:keywords>Platinum, DailyTee Cotton, NotAsDescribed, VIPRetention</cp:keywords>
  <dc:description>Platinum 고객의 DailyTee Cotton 반품 사례를 VIPRetention 관점에서 검토한다.</dc:description>
  <cp:lastModifiedBy>송하늘</cp:lastModifiedBy>
  <cp:revision>1</cp:revision>
  <dcterms:created xsi:type="dcterms:W3CDTF">2026-07-16T14:59:29.370Z</dcterms:created>
  <dcterms:modified xsi:type="dcterms:W3CDTF">2026-07-16T14:59:29.370Z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