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FlashWeek 프로모션 정산 검토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FlashWeek의 귀속매출, 결제 상태, 프로모션 유형별 마진 프록시를 검토한다.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SP05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 Review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2026-05-18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서지민 / 재무 분석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FlashWeek, Percent, 마진, CA00004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대상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캠페인 기준: SummerPush(CA00001, Social, 2026-04-15~06-15), BackToSchool(CA00002, OnlineMall, 2026-07-15~08-31), VIPRetention(CA00003, MobileApp, 2026-05-01~05-31), FlashWeek(CA00004, OfflineStore, 2026-05-10~05-17).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BackToSchool은 5개 귀속행/3,987.76 귀속매출(실패 2, 재시도성공 2, 성공 1), FlashWeek는 4개 귀속행/2,450.26 귀속매출(실패 2, 재시도성공 1, 성공 1)이다.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프로모션 관측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프로모션 1,000건은 Amount/Bundle/BOGO/Percent 각 250건이다. Percent 마진 프록시는 0.6521로 다른 유형(약 0.9815~0.9824)보다 낮다.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PR00050의 discount_amount=-5.00은 유효성 위반이므로 정산에서 격리한다.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정산 원칙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Failed 결제는 실현매출로 보지 않고 RetrySuccess는 승인 성공과 재시도 여부를 분리한다.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O00007과 O00600의 금액 불일치는 원장 대조 후 확정한다.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Percent 유형은 증분매출뿐 아니라 마진 훼손과 재구매 신호를 함께 검토한다.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SP05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FlashWeek 프로모션 정산 검토</dc:title>
  <dc:subject>Finance Review</dc:subject>
  <dc:creator>서지민</dc:creator>
  <cp:keywords>FlashWeek, Percent, 마진, CA00004</cp:keywords>
  <dc:description>FlashWeek의 귀속매출, 결제 상태, 프로모션 유형별 마진 프록시를 검토한다.</dc:description>
  <cp:lastModifiedBy>서지민</cp:lastModifiedBy>
  <cp:revision>1</cp:revision>
  <dcterms:created xsi:type="dcterms:W3CDTF">2026-07-16T14:59:29.318Z</dcterms:created>
  <dcterms:modified xsi:type="dcterms:W3CDTF">2026-07-16T14:59:29.318Z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