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75B5" w:sz="10" w:space="1"/>
        </w:pBdr>
        <w:spacing w:after="180"/>
        <w:jc w:val="center"/>
      </w:pPr>
      <w:r>
        <w:rPr>
          <w:rFonts w:ascii="Arial" w:cs="Arial" w:eastAsia="Arial" w:hAnsi="Arial"/>
          <w:b/>
          <w:bCs/>
          <w:color w:val="17365D"/>
          <w:sz w:val="36"/>
          <w:szCs w:val="36"/>
        </w:rPr>
        <w:t xml:space="preserve">Track4 FoundryIQ 근거 통합 브리핑 초안</w:t>
      </w:r>
    </w:p>
    <w:p>
      <w:p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정형 사실과 M365 업무 맥락을 결합해 Track4 FoundryIQ가 사용할 브리핑의 기준 예시를 제공한다.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ID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OD10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onedrive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Briefing Draft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업무 기준일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2026-07-12 KST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이현지 / CDO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권한 대상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Workshop-Participants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키워드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FabricIQ, WorkIQ, BackToSchool, 원본 링크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정형 사실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2026-05-16 재고 스냅샷: AeroPhone X 4/예약 30(S09001), SmartWatch Pro 3/예약 25(S09002), UltraBook 15 6/예약 40(S09003).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Track1 결제 2,004건: Success 670, Failed 667, RetrySuccess 666, 상태 결측 1건(PAY00019). RetrySuccess는 상태와 재시도 여부가 섞인 비표준 코드다.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업무 맥락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재고·물류·CS 합동 회의는 노출 제한과 선제 공지를 결정했고 BackToSchool 회의는 조건부 Go를 승인했다.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품질 경고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Track1 의도 이슈: FK 고아 PAY90001-&gt;O99999, T90001-&gt;C99999; SH00001 중복; 결측 5건; 이상값 P00050/PR00050/S00050/O00033; 금액 불일치 O00007(+10), O00600(-25).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귀속 범위가 확인되지 않은 캠페인은 성과 0으로 표현하지 않는다.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권고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핵심 상품 노출 제한, 결제 회복률 분리, 근거 링크 유지, 24시간 후 재검증을 제안한다.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근거 및 사용 주의</w:t>
      </w:r>
    </w:p>
    <w:p>
      <w:pPr>
        <w:spacing w:after="120" w:line="32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본 문서는 Track1 샘플 데이터와 연결되는 가상 워크숍 콘텐츠다. 실제 고객, 임직원 또는 운영 사실을 포함하지 않는다.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정형 수치는 FabricIQ 기준값과 원본 행을 다시 확인하고, 미해결 품질 이슈가 있으면 경고와 함께 인용한다.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Track2 Sample | OD10 | 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F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Track4 FoundryIQ 근거 통합 브리핑 초안</dc:title>
  <dc:subject>Briefing Draft</dc:subject>
  <dc:creator>이현지</dc:creator>
  <cp:keywords>FabricIQ, WorkIQ, BackToSchool, 원본 링크</cp:keywords>
  <dc:description>정형 사실과 M365 업무 맥락을 결합해 Track4 FoundryIQ가 사용할 브리핑의 기준 예시를 제공한다.</dc:description>
  <cp:lastModifiedBy>이현지</cp:lastModifiedBy>
  <cp:revision>1</cp:revision>
  <dcterms:created xsi:type="dcterms:W3CDTF">2026-07-29T23:59:25.360Z</dcterms:created>
  <dcterms:modified xsi:type="dcterms:W3CDTF">2026-07-29T23:59:25.360Z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