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WEBLOGIC ADMINISTRATOR</w:t>
      </w:r>
    </w:p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</w:p>
    <w:p w:rsidR="003563FE" w:rsidRPr="00E07A06" w:rsidRDefault="00E07A06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5</w:t>
      </w:r>
      <w:r w:rsidR="003563FE" w:rsidRPr="00E07A06">
        <w:rPr>
          <w:rFonts w:asciiTheme="minorHAnsi" w:hAnsiTheme="minorHAnsi"/>
        </w:rPr>
        <w:t>+ years of Administration, development and support experience in WebLogic Servers.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Extensive experience in Installing, Configuring, Tuning and Troubleshooting of </w:t>
      </w:r>
      <w:proofErr w:type="spellStart"/>
      <w:r w:rsidRPr="00E07A06">
        <w:rPr>
          <w:rFonts w:asciiTheme="minorHAnsi" w:hAnsiTheme="minorHAnsi"/>
        </w:rPr>
        <w:t>Weblogic</w:t>
      </w:r>
      <w:proofErr w:type="spellEnd"/>
      <w:r w:rsidRPr="00E07A06">
        <w:rPr>
          <w:rFonts w:asciiTheme="minorHAnsi" w:hAnsiTheme="minorHAnsi"/>
        </w:rPr>
        <w:t xml:space="preserve"> Server 10.x/11g/12c in environments like UNIX, Red Hat Linux.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Extensive experience on Network Inventory and provisioning system using various releases of Cramer/OSS application.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Expertise in implementation of various modules of Amdocs OSS/Cramer products.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Experience in framework writing to have quick and easy implantation of customization on OSS.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Provided 24x7 on call support in production environment.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Experience in configuring Node Manager to start and stop managed servers from admin console.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Deployed various WAR, JAR, EAR and J2EE applications on managed servers and in clustered environment using Console/ Auto deploying scripts in stage and production modes.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Configured and administered JDBC Connection pools and JMS Connection Factories and implemented other services like JTA, JNDI, Virtual Hosting and SNMP.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Excellent working knowledge in finding Memory Leaks and adjusting JVM Heap size and Garbage Collection parameters during performance monitoring and performance tuning of WebLogic server.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Implementing Security Services under various realms of WebLogic Server.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Expertise in design and development of Cramer Inventory Management Component (Resource Manager), Cramer Metadata Manager (</w:t>
      </w:r>
      <w:proofErr w:type="spellStart"/>
      <w:r w:rsidRPr="00E07A06">
        <w:rPr>
          <w:rFonts w:asciiTheme="minorHAnsi" w:hAnsiTheme="minorHAnsi"/>
        </w:rPr>
        <w:t>Configurator</w:t>
      </w:r>
      <w:proofErr w:type="spellEnd"/>
      <w:r w:rsidRPr="00E07A06">
        <w:rPr>
          <w:rFonts w:asciiTheme="minorHAnsi" w:hAnsiTheme="minorHAnsi"/>
        </w:rPr>
        <w:t xml:space="preserve">), Cramer Design Automation Component (Task Engine), Cramer Inventory Synchronization Component (Sync Engine), Interfaces and </w:t>
      </w:r>
      <w:proofErr w:type="spellStart"/>
      <w:r w:rsidRPr="00E07A06">
        <w:rPr>
          <w:rFonts w:asciiTheme="minorHAnsi" w:hAnsiTheme="minorHAnsi"/>
        </w:rPr>
        <w:t>Apapters</w:t>
      </w:r>
      <w:proofErr w:type="spellEnd"/>
      <w:r w:rsidRPr="00E07A06">
        <w:rPr>
          <w:rFonts w:asciiTheme="minorHAnsi" w:hAnsiTheme="minorHAnsi"/>
        </w:rPr>
        <w:t>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Hands on experience on administrative tools like Administration Console, WLST and Command line interface.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Design and build metadata repository for Network Devices featuring Cards, Circuits, and Shells etc.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Configured and managed secure environments like SSL and Digital Certificates.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Experience with SAML authentication integration into web services. </w:t>
      </w:r>
    </w:p>
    <w:p w:rsidR="00E07A06" w:rsidRPr="00E07A06" w:rsidRDefault="00E07A06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Experience in creating and running </w:t>
      </w:r>
      <w:proofErr w:type="spellStart"/>
      <w:r w:rsidRPr="00E07A06">
        <w:rPr>
          <w:rFonts w:asciiTheme="minorHAnsi" w:hAnsiTheme="minorHAnsi"/>
        </w:rPr>
        <w:t>cronjobs</w:t>
      </w:r>
      <w:proofErr w:type="spellEnd"/>
      <w:r w:rsidRPr="00E07A06">
        <w:rPr>
          <w:rFonts w:asciiTheme="minorHAnsi" w:hAnsiTheme="minorHAnsi"/>
        </w:rPr>
        <w:t xml:space="preserve"> for scheduled jobs.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Configuration of JDBC connections and data sources with Oracle Database server 9i/10g/11g. </w:t>
      </w:r>
    </w:p>
    <w:p w:rsidR="003563FE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Excellent Database knowledge in SQL, PL/SQL, Oracle and MS SQL Server.</w:t>
      </w:r>
    </w:p>
    <w:p w:rsidR="00E07A06" w:rsidRDefault="00E07A06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Experience in writing sequel queries and APIs</w:t>
      </w:r>
    </w:p>
    <w:p w:rsidR="008C7F1E" w:rsidRPr="00E07A06" w:rsidRDefault="008C7F1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Experience in writing and tuning SQL and PL/SQL stored procedures.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>Proficient in Database design and coding database objects that include Tables, Triggers, Stored Procedures, Functions, Indexes and Sequences.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Well versed in writing WLST, ANT, </w:t>
      </w:r>
      <w:proofErr w:type="spellStart"/>
      <w:r w:rsidRPr="00E07A06">
        <w:rPr>
          <w:rFonts w:asciiTheme="minorHAnsi" w:hAnsiTheme="minorHAnsi"/>
        </w:rPr>
        <w:t>Jython</w:t>
      </w:r>
      <w:proofErr w:type="spellEnd"/>
      <w:r w:rsidRPr="00E07A06">
        <w:rPr>
          <w:rFonts w:asciiTheme="minorHAnsi" w:hAnsiTheme="minorHAnsi"/>
        </w:rPr>
        <w:t>, PERL and UNIX shell scripts; and implementing auto deployment process.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Installed </w:t>
      </w:r>
      <w:r w:rsidR="00E07A06" w:rsidRPr="00E07A06">
        <w:rPr>
          <w:rFonts w:asciiTheme="minorHAnsi" w:hAnsiTheme="minorHAnsi"/>
        </w:rPr>
        <w:t xml:space="preserve">and configured Wily agent, Wily enterprise manager and </w:t>
      </w:r>
      <w:proofErr w:type="spellStart"/>
      <w:r w:rsidR="00E07A06" w:rsidRPr="00E07A06">
        <w:rPr>
          <w:rFonts w:asciiTheme="minorHAnsi" w:hAnsiTheme="minorHAnsi"/>
        </w:rPr>
        <w:t>Introscope</w:t>
      </w:r>
      <w:proofErr w:type="spellEnd"/>
      <w:r w:rsidR="00E07A06" w:rsidRPr="00E07A06">
        <w:rPr>
          <w:rFonts w:asciiTheme="minorHAnsi" w:hAnsiTheme="minorHAnsi"/>
        </w:rPr>
        <w:t xml:space="preserve"> Workstation and provide application monitoring and measurement using Wily </w:t>
      </w:r>
      <w:proofErr w:type="spellStart"/>
      <w:r w:rsidR="00E07A06" w:rsidRPr="00E07A06">
        <w:rPr>
          <w:rFonts w:asciiTheme="minorHAnsi" w:hAnsiTheme="minorHAnsi"/>
        </w:rPr>
        <w:t>Introscope</w:t>
      </w:r>
      <w:proofErr w:type="spellEnd"/>
      <w:r w:rsidR="00E07A06" w:rsidRPr="00E07A06">
        <w:rPr>
          <w:rFonts w:asciiTheme="minorHAnsi" w:hAnsiTheme="minorHAnsi"/>
        </w:rPr>
        <w:t>.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Provided guidelines, standards and mentoring to WebLogic based application deployment and development architecture and integration strategy. </w:t>
      </w:r>
    </w:p>
    <w:p w:rsidR="003563FE" w:rsidRPr="00E07A06" w:rsidRDefault="003563FE" w:rsidP="003563FE">
      <w:pPr>
        <w:pStyle w:val="NoSpacing"/>
        <w:numPr>
          <w:ilvl w:val="0"/>
          <w:numId w:val="3"/>
        </w:numPr>
        <w:rPr>
          <w:rFonts w:asciiTheme="minorHAnsi" w:hAnsiTheme="minorHAnsi"/>
        </w:rPr>
      </w:pPr>
      <w:r w:rsidRPr="00E07A06">
        <w:rPr>
          <w:rFonts w:asciiTheme="minorHAnsi" w:hAnsiTheme="minorHAnsi"/>
        </w:rPr>
        <w:t xml:space="preserve">Strong communication and interpersonal skills. </w:t>
      </w:r>
    </w:p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8C7F1E" w:rsidRDefault="008C7F1E" w:rsidP="003563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lastRenderedPageBreak/>
        <w:t>TECHNOLOGY SUMMARY</w:t>
      </w:r>
    </w:p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style="position:absolute;z-index:-251656192" from="1.35pt,-.3pt" to="147.5pt,-.3pt" o:allowincell="f" strokecolor="silver" strokeweight=".96pt"/>
        </w:pict>
      </w:r>
    </w:p>
    <w:p w:rsidR="003563FE" w:rsidRDefault="003563FE" w:rsidP="003563FE">
      <w:pPr>
        <w:pStyle w:val="DefaultParagraphFont"/>
        <w:widowControl w:val="0"/>
        <w:autoSpaceDE w:val="0"/>
        <w:autoSpaceDN w:val="0"/>
        <w:adjustRightInd w:val="0"/>
        <w:spacing w:after="0" w:line="123" w:lineRule="exact"/>
        <w:rPr>
          <w:rFonts w:ascii="Times New Roman" w:hAnsi="Times New Roman"/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6250"/>
      </w:tblGrid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Programming Languages: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>C, C++, Java/J2EE, Visual Basic, SQL, MY-SQL, PL-SQL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Operating Systems: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</w:rPr>
            </w:pPr>
            <w:r w:rsidRPr="00E07A06">
              <w:rPr>
                <w:rFonts w:asciiTheme="minorHAnsi" w:hAnsiTheme="minorHAnsi"/>
                <w:sz w:val="20"/>
              </w:rPr>
              <w:t>UNIX, Solaris, Red Hat LINUX, Windows (all)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Middleware: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>BEA WebLogic Application Server 9.x/10.x/11g/12c, WebLogic Portal10.3.x, Apache-HTTP Server 2.0/2.2/2.4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J2EE Technologies: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E07A06">
              <w:rPr>
                <w:rFonts w:asciiTheme="minorHAnsi" w:hAnsiTheme="minorHAnsi"/>
                <w:sz w:val="20"/>
              </w:rPr>
              <w:t>Servlets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>, JSP, JDBC, RMI, JMS, JTA, JNDI, JMX, EJB,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Web Technologies: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>JDK, HTML, XML, DHTML, MSXML, LDAP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Scripting Languages: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 xml:space="preserve">WLST, ANT,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Jython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>, UNIX Shell Scripting, Perl Scripting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Inventory Management Tools: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>Amdocs Resource Manager, Cramer Metadata Manager, Task Engine, Sync Engine, Delivery Engine</w:t>
            </w:r>
            <w:r w:rsidR="00E07A06" w:rsidRPr="00E07A06">
              <w:rPr>
                <w:rFonts w:asciiTheme="minorHAnsi" w:hAnsiTheme="minorHAnsi"/>
                <w:sz w:val="20"/>
              </w:rPr>
              <w:t>, Amdocs Network Navigator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Performance and Monitoring Tools: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sz w:val="20"/>
              </w:rPr>
              <w:t xml:space="preserve">Wily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Introscope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JMeter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JProbe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JProfiler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 xml:space="preserve">, F5 Load Balancer, Grinder, Samurai,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JRockit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 xml:space="preserve"> Management Console, Visual VM, TDA.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IDE’s/ Utilities: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w w:val="96"/>
                <w:sz w:val="20"/>
              </w:rPr>
              <w:t>Eclipse, WebLogic Workshop, MS Visual Studio 2005, Site Minder, OAM,</w:t>
            </w:r>
            <w:r w:rsidRPr="00E07A06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E07A06">
              <w:rPr>
                <w:rFonts w:asciiTheme="minorHAnsi" w:hAnsiTheme="minorHAnsi"/>
                <w:sz w:val="20"/>
              </w:rPr>
              <w:t>JBuilder</w:t>
            </w:r>
            <w:proofErr w:type="spellEnd"/>
            <w:r w:rsidRPr="00E07A06">
              <w:rPr>
                <w:rFonts w:asciiTheme="minorHAnsi" w:hAnsiTheme="minorHAnsi"/>
                <w:sz w:val="20"/>
              </w:rPr>
              <w:t>, SSH, SOA, Open SSL, Putty and WLST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Database: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w w:val="95"/>
                <w:sz w:val="20"/>
              </w:rPr>
              <w:t>Oracle 9i/10g/11g, OAS, MS SQL, Server, My SQL, MS Access and DB2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Networking &amp; Protocols: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w w:val="95"/>
                <w:sz w:val="20"/>
              </w:rPr>
              <w:t>TCP/IP, Telnet, HTTP, HTTPS, FTP, SNMP, LDAP, DNS, DHCP, ARP, SSL</w:t>
            </w:r>
          </w:p>
        </w:tc>
      </w:tr>
      <w:tr w:rsidR="003563FE" w:rsidRPr="003563FE" w:rsidTr="00E07A0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3563F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Theme="minorHAnsi" w:eastAsiaTheme="minorEastAsia" w:hAnsiTheme="minorHAnsi"/>
                <w:sz w:val="20"/>
                <w:szCs w:val="24"/>
              </w:rPr>
            </w:pPr>
            <w:r w:rsidRPr="00E07A06">
              <w:rPr>
                <w:rFonts w:asciiTheme="minorHAnsi" w:eastAsiaTheme="minorEastAsia" w:hAnsiTheme="minorHAnsi" w:cs="Verdana"/>
                <w:b/>
                <w:bCs/>
                <w:sz w:val="20"/>
                <w:szCs w:val="18"/>
              </w:rPr>
              <w:t>Other Tools: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63FE" w:rsidRPr="00E07A06" w:rsidRDefault="003563FE" w:rsidP="00E07A06">
            <w:pPr>
              <w:pStyle w:val="NoSpacing"/>
              <w:rPr>
                <w:rFonts w:asciiTheme="minorHAnsi" w:hAnsiTheme="minorHAnsi"/>
                <w:sz w:val="20"/>
                <w:szCs w:val="24"/>
              </w:rPr>
            </w:pPr>
            <w:r w:rsidRPr="00E07A06">
              <w:rPr>
                <w:rFonts w:asciiTheme="minorHAnsi" w:hAnsiTheme="minorHAnsi"/>
                <w:w w:val="97"/>
                <w:sz w:val="20"/>
              </w:rPr>
              <w:t>Adobe Photoshop, Adobe Dreamweaver, Adobe Light room, MS Office</w:t>
            </w:r>
          </w:p>
        </w:tc>
      </w:tr>
    </w:tbl>
    <w:p w:rsidR="003563FE" w:rsidRDefault="003563FE"/>
    <w:p w:rsidR="003563FE" w:rsidRDefault="003563FE" w:rsidP="008C7F1E">
      <w:pPr>
        <w:pStyle w:val="NoSpacing"/>
        <w:rPr>
          <w:rFonts w:ascii="Verdana" w:hAnsi="Verdana"/>
          <w:b/>
          <w:sz w:val="20"/>
          <w:u w:val="single"/>
        </w:rPr>
      </w:pPr>
      <w:r w:rsidRPr="008C7F1E">
        <w:rPr>
          <w:rFonts w:ascii="Verdana" w:hAnsi="Verdana"/>
          <w:b/>
          <w:sz w:val="20"/>
          <w:u w:val="single"/>
        </w:rPr>
        <w:t>EXPERIENCE</w:t>
      </w:r>
    </w:p>
    <w:p w:rsidR="008C7F1E" w:rsidRPr="008C7F1E" w:rsidRDefault="008C7F1E" w:rsidP="008C7F1E">
      <w:pPr>
        <w:pStyle w:val="NoSpacing"/>
        <w:rPr>
          <w:rFonts w:ascii="Verdana" w:hAnsi="Verdana"/>
          <w:b/>
          <w:sz w:val="20"/>
          <w:u w:val="single"/>
        </w:rPr>
      </w:pPr>
    </w:p>
    <w:p w:rsidR="003563FE" w:rsidRPr="008C7F1E" w:rsidRDefault="003563FE" w:rsidP="008C7F1E">
      <w:pPr>
        <w:pStyle w:val="NoSpacing"/>
        <w:rPr>
          <w:rFonts w:ascii="Verdana" w:hAnsi="Verdana"/>
          <w:b/>
          <w:sz w:val="18"/>
        </w:rPr>
      </w:pPr>
      <w:r w:rsidRPr="008C7F1E">
        <w:rPr>
          <w:rFonts w:ascii="Verdana" w:hAnsi="Verdana"/>
          <w:b/>
          <w:sz w:val="18"/>
        </w:rPr>
        <w:t>CenturyLink, Portland OR</w:t>
      </w:r>
      <w:r w:rsidR="008C7F1E" w:rsidRP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ab/>
      </w:r>
      <w:r w:rsidR="008C7F1E">
        <w:rPr>
          <w:rFonts w:ascii="Verdana" w:hAnsi="Verdana"/>
          <w:b/>
          <w:sz w:val="18"/>
        </w:rPr>
        <w:tab/>
      </w:r>
      <w:r w:rsidR="008C7F1E" w:rsidRPr="008C7F1E">
        <w:rPr>
          <w:rFonts w:ascii="Verdana" w:hAnsi="Verdana"/>
          <w:b/>
          <w:sz w:val="18"/>
        </w:rPr>
        <w:t>J</w:t>
      </w:r>
      <w:r w:rsidRPr="008C7F1E">
        <w:rPr>
          <w:rFonts w:ascii="Verdana" w:hAnsi="Verdana"/>
          <w:b/>
          <w:sz w:val="18"/>
        </w:rPr>
        <w:t>an 2012 – Till Date</w:t>
      </w:r>
    </w:p>
    <w:p w:rsidR="003563FE" w:rsidRDefault="003563FE" w:rsidP="008C7F1E">
      <w:pPr>
        <w:pStyle w:val="NoSpacing"/>
        <w:rPr>
          <w:rFonts w:ascii="Verdana" w:hAnsi="Verdana"/>
          <w:b/>
          <w:sz w:val="18"/>
        </w:rPr>
      </w:pPr>
      <w:r w:rsidRPr="008C7F1E">
        <w:rPr>
          <w:rFonts w:ascii="Verdana" w:hAnsi="Verdana"/>
          <w:b/>
          <w:sz w:val="18"/>
        </w:rPr>
        <w:t>WebLogic Administrator</w:t>
      </w:r>
    </w:p>
    <w:p w:rsidR="008C7F1E" w:rsidRPr="008C7F1E" w:rsidRDefault="008C7F1E" w:rsidP="008C7F1E">
      <w:pPr>
        <w:pStyle w:val="NoSpacing"/>
        <w:rPr>
          <w:rFonts w:ascii="Verdana" w:hAnsi="Verdana"/>
          <w:b/>
          <w:sz w:val="18"/>
        </w:rPr>
      </w:pPr>
    </w:p>
    <w:p w:rsidR="003563FE" w:rsidRPr="008C7F1E" w:rsidRDefault="003563FE" w:rsidP="008C7F1E">
      <w:pPr>
        <w:pStyle w:val="NoSpacing"/>
        <w:rPr>
          <w:rFonts w:ascii="Verdana" w:hAnsi="Verdana"/>
          <w:b/>
          <w:sz w:val="18"/>
        </w:rPr>
      </w:pPr>
      <w:r w:rsidRPr="008C7F1E">
        <w:rPr>
          <w:rFonts w:ascii="Verdana" w:hAnsi="Verdana"/>
          <w:b/>
          <w:sz w:val="18"/>
        </w:rPr>
        <w:t>Responsibilities: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Installed Amdocs OSS 8.2 on WebLogic 10.3 server in Linux environment.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Created standalone, 2-node and 4-node cluster environments for high-availability and failover.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Created and monitored multiple domains with multiple managed servers, machines, node managers and cluster environments.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>Installed, managed and configured various Cramer Modules like Cramer Inventory Management Component (Resource Manager), Cramer Metadata Manager (</w:t>
      </w:r>
      <w:proofErr w:type="spellStart"/>
      <w:r w:rsidRPr="008C7F1E">
        <w:rPr>
          <w:rFonts w:asciiTheme="minorHAnsi" w:hAnsiTheme="minorHAnsi"/>
        </w:rPr>
        <w:t>Configurator</w:t>
      </w:r>
      <w:proofErr w:type="spellEnd"/>
      <w:r w:rsidRPr="008C7F1E">
        <w:rPr>
          <w:rFonts w:asciiTheme="minorHAnsi" w:hAnsiTheme="minorHAnsi"/>
        </w:rPr>
        <w:t xml:space="preserve">), Cramer Design Automation Component (Task Engine), Cramer Inventory Synchronization Component (Sync Engine), Interfaces and Adapters. </w:t>
      </w:r>
    </w:p>
    <w:p w:rsidR="00E07A06" w:rsidRPr="008C7F1E" w:rsidRDefault="00E07A06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Installed, configured and managed Amdocs Network Navigator on </w:t>
      </w:r>
      <w:proofErr w:type="spellStart"/>
      <w:r w:rsidRPr="008C7F1E">
        <w:rPr>
          <w:rFonts w:asciiTheme="minorHAnsi" w:hAnsiTheme="minorHAnsi"/>
        </w:rPr>
        <w:t>weblogic</w:t>
      </w:r>
      <w:proofErr w:type="spellEnd"/>
      <w:r w:rsidRPr="008C7F1E">
        <w:rPr>
          <w:rFonts w:asciiTheme="minorHAnsi" w:hAnsiTheme="minorHAnsi"/>
        </w:rPr>
        <w:t xml:space="preserve"> servers.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Created Network Inventory metadata repository and deployed it in various environments.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Managed and Administered Amdocs Resource Manager and trouble shoot issues related to ARM GUI.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Integrated Sync Engine module to a clustered ARM environment.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Worked on application development/integration using technologies like WebLogic, J2EE, ANT/Maven and UNIX scripting, JMS, JSP, DB2, </w:t>
      </w:r>
      <w:proofErr w:type="spellStart"/>
      <w:r w:rsidRPr="008C7F1E">
        <w:rPr>
          <w:rFonts w:asciiTheme="minorHAnsi" w:hAnsiTheme="minorHAnsi"/>
        </w:rPr>
        <w:t>WebMethods</w:t>
      </w:r>
      <w:proofErr w:type="spellEnd"/>
      <w:r w:rsidRPr="008C7F1E">
        <w:rPr>
          <w:rFonts w:asciiTheme="minorHAnsi" w:hAnsiTheme="minorHAnsi"/>
        </w:rPr>
        <w:t xml:space="preserve">, </w:t>
      </w:r>
      <w:proofErr w:type="spellStart"/>
      <w:r w:rsidRPr="008C7F1E">
        <w:rPr>
          <w:rFonts w:asciiTheme="minorHAnsi" w:hAnsiTheme="minorHAnsi"/>
        </w:rPr>
        <w:t>Tomcast</w:t>
      </w:r>
      <w:proofErr w:type="spellEnd"/>
      <w:r w:rsidRPr="008C7F1E">
        <w:rPr>
          <w:rFonts w:asciiTheme="minorHAnsi" w:hAnsiTheme="minorHAnsi"/>
        </w:rPr>
        <w:t xml:space="preserve"> and </w:t>
      </w:r>
      <w:proofErr w:type="spellStart"/>
      <w:r w:rsidRPr="008C7F1E">
        <w:rPr>
          <w:rFonts w:asciiTheme="minorHAnsi" w:hAnsiTheme="minorHAnsi"/>
        </w:rPr>
        <w:t>Autosys</w:t>
      </w:r>
      <w:proofErr w:type="spellEnd"/>
      <w:r w:rsidRPr="008C7F1E">
        <w:rPr>
          <w:rFonts w:asciiTheme="minorHAnsi" w:hAnsiTheme="minorHAnsi"/>
        </w:rPr>
        <w:t xml:space="preserve">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Responsible for configuring Clusters, JMS, security enhancements, Node Manager, SSL, Administering Connection pools for JDBC connections.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lastRenderedPageBreak/>
        <w:t xml:space="preserve">Configured and created JMS servers with various JMS modules like queues, topics, connection factories, distributed queues and distributed topics.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Managed and monitored server instances and automation using WLST.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Installation and renewals of Digital Certificates and configuring new WebLogic domains.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Migrated WebLogic server applications from 10.3.6 to 12c.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Upgraded Amdocs OSS from 8.2 to 9.3 versions.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Configured execute threads, connection pools and JMS Bridges etc. for different components of the retailed applications.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Used WLST for configuring, deployment and runtime environment changes.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Responsible for performing root causes and analysis identify solutions to issues such as server crashes, hangs, and out of memory issues in various JDKs. </w:t>
      </w:r>
    </w:p>
    <w:p w:rsidR="00E07A06" w:rsidRPr="008C7F1E" w:rsidRDefault="00E07A06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Installed and configured Wily </w:t>
      </w:r>
      <w:proofErr w:type="spellStart"/>
      <w:r w:rsidRPr="008C7F1E">
        <w:rPr>
          <w:rFonts w:asciiTheme="minorHAnsi" w:hAnsiTheme="minorHAnsi"/>
        </w:rPr>
        <w:t>Introscope</w:t>
      </w:r>
      <w:proofErr w:type="spellEnd"/>
      <w:r w:rsidRPr="008C7F1E">
        <w:rPr>
          <w:rFonts w:asciiTheme="minorHAnsi" w:hAnsiTheme="minorHAnsi"/>
        </w:rPr>
        <w:t xml:space="preserve"> to monitor </w:t>
      </w:r>
      <w:proofErr w:type="spellStart"/>
      <w:r w:rsidRPr="008C7F1E">
        <w:rPr>
          <w:rFonts w:asciiTheme="minorHAnsi" w:hAnsiTheme="minorHAnsi"/>
        </w:rPr>
        <w:t>weblogic</w:t>
      </w:r>
      <w:proofErr w:type="spellEnd"/>
      <w:r w:rsidRPr="008C7F1E">
        <w:rPr>
          <w:rFonts w:asciiTheme="minorHAnsi" w:hAnsiTheme="minorHAnsi"/>
        </w:rPr>
        <w:t xml:space="preserve"> </w:t>
      </w:r>
      <w:r w:rsidR="008C7F1E" w:rsidRPr="008C7F1E">
        <w:rPr>
          <w:rFonts w:asciiTheme="minorHAnsi" w:hAnsiTheme="minorHAnsi"/>
        </w:rPr>
        <w:t>servers.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Managed and monitored JVM performance of WebLogic heap size, Garbage collection and JDBC pools.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Responsible for Managing security by setting up security rules, manage users in the system. </w:t>
      </w:r>
    </w:p>
    <w:p w:rsidR="003563FE" w:rsidRPr="008C7F1E" w:rsidRDefault="003563FE" w:rsidP="003563FE">
      <w:pPr>
        <w:pStyle w:val="NoSpacing"/>
        <w:numPr>
          <w:ilvl w:val="0"/>
          <w:numId w:val="7"/>
        </w:numPr>
        <w:rPr>
          <w:rFonts w:asciiTheme="minorHAnsi" w:hAnsiTheme="minorHAnsi"/>
        </w:rPr>
      </w:pPr>
      <w:r w:rsidRPr="008C7F1E">
        <w:rPr>
          <w:rFonts w:asciiTheme="minorHAnsi" w:hAnsiTheme="minorHAnsi"/>
        </w:rPr>
        <w:t xml:space="preserve">Involved in 24/7 support for production environments. </w:t>
      </w:r>
    </w:p>
    <w:p w:rsidR="003563FE" w:rsidRDefault="003563FE" w:rsidP="003563FE">
      <w:pPr>
        <w:rPr>
          <w:rFonts w:ascii="Verdana" w:hAnsi="Verdana"/>
          <w:b/>
          <w:bCs/>
          <w:sz w:val="20"/>
          <w:u w:val="single"/>
        </w:rPr>
      </w:pPr>
    </w:p>
    <w:p w:rsidR="003563FE" w:rsidRPr="008C7F1E" w:rsidRDefault="003563FE" w:rsidP="008C7F1E">
      <w:pPr>
        <w:pStyle w:val="NoSpacing"/>
        <w:rPr>
          <w:rFonts w:ascii="Verdana" w:hAnsi="Verdana"/>
          <w:b/>
          <w:sz w:val="20"/>
          <w:u w:val="single"/>
        </w:rPr>
      </w:pPr>
      <w:r w:rsidRPr="008C7F1E">
        <w:rPr>
          <w:rFonts w:ascii="Verdana" w:hAnsi="Verdana"/>
          <w:b/>
          <w:sz w:val="20"/>
          <w:u w:val="single"/>
        </w:rPr>
        <w:t>CERTIFICATION</w:t>
      </w:r>
    </w:p>
    <w:p w:rsidR="003563FE" w:rsidRPr="003563FE" w:rsidRDefault="003563FE" w:rsidP="003563FE">
      <w:pPr>
        <w:numPr>
          <w:ilvl w:val="0"/>
          <w:numId w:val="5"/>
        </w:numPr>
        <w:tabs>
          <w:tab w:val="num" w:pos="360"/>
        </w:tabs>
      </w:pPr>
      <w:r w:rsidRPr="003563FE">
        <w:t xml:space="preserve">Certified Oracle WebLogic 12c System Administrator. </w:t>
      </w:r>
    </w:p>
    <w:p w:rsidR="003563FE" w:rsidRPr="008C7F1E" w:rsidRDefault="003563FE" w:rsidP="008C7F1E">
      <w:pPr>
        <w:pStyle w:val="NoSpacing"/>
        <w:rPr>
          <w:rFonts w:ascii="Verdana" w:hAnsi="Verdana"/>
          <w:b/>
          <w:sz w:val="20"/>
          <w:u w:val="single"/>
        </w:rPr>
      </w:pPr>
      <w:r w:rsidRPr="008C7F1E">
        <w:rPr>
          <w:rFonts w:ascii="Verdana" w:hAnsi="Verdana"/>
          <w:b/>
          <w:sz w:val="20"/>
          <w:u w:val="single"/>
        </w:rPr>
        <w:t>EDUCATION</w:t>
      </w:r>
    </w:p>
    <w:p w:rsidR="003563FE" w:rsidRPr="003563FE" w:rsidRDefault="003563FE" w:rsidP="003563FE">
      <w:pPr>
        <w:pStyle w:val="NoSpacing"/>
        <w:numPr>
          <w:ilvl w:val="0"/>
          <w:numId w:val="8"/>
        </w:numPr>
      </w:pPr>
      <w:r w:rsidRPr="003563FE">
        <w:t xml:space="preserve">Master’s of Science, Wichita State University, USA. </w:t>
      </w:r>
    </w:p>
    <w:p w:rsidR="003563FE" w:rsidRPr="003563FE" w:rsidRDefault="003563FE" w:rsidP="003563FE">
      <w:pPr>
        <w:pStyle w:val="NoSpacing"/>
        <w:numPr>
          <w:ilvl w:val="0"/>
          <w:numId w:val="8"/>
        </w:numPr>
      </w:pPr>
      <w:r w:rsidRPr="003563FE">
        <w:t xml:space="preserve">Bachelors of Engineering, Andhra University, India. </w:t>
      </w:r>
    </w:p>
    <w:sectPr w:rsidR="003563FE" w:rsidRPr="003563FE" w:rsidSect="008E5B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543" w:rsidRDefault="00CC7543" w:rsidP="003563FE">
      <w:pPr>
        <w:spacing w:after="0" w:line="240" w:lineRule="auto"/>
      </w:pPr>
      <w:r>
        <w:separator/>
      </w:r>
    </w:p>
  </w:endnote>
  <w:endnote w:type="continuationSeparator" w:id="0">
    <w:p w:rsidR="00CC7543" w:rsidRDefault="00CC7543" w:rsidP="0035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FE" w:rsidRDefault="003563FE" w:rsidP="003563FE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right" w:pos="9360"/>
      </w:tabs>
      <w:rPr>
        <w:rFonts w:asciiTheme="majorHAnsi" w:hAnsiTheme="majorHAnsi"/>
      </w:rPr>
    </w:pPr>
    <w:r>
      <w:rPr>
        <w:rFonts w:asciiTheme="majorHAnsi" w:hAnsiTheme="majorHAnsi"/>
      </w:rPr>
      <w:t>Sreedhar Vasomsetti</w:t>
    </w:r>
    <w:r>
      <w:rPr>
        <w:rFonts w:asciiTheme="majorHAnsi" w:hAnsiTheme="majorHAnsi"/>
      </w:rPr>
      <w:tab/>
      <w:t xml:space="preserve">Page </w:t>
    </w:r>
    <w:fldSimple w:instr=" PAGE   \* MERGEFORMAT ">
      <w:r w:rsidR="008C7F1E" w:rsidRPr="008C7F1E">
        <w:rPr>
          <w:rFonts w:asciiTheme="majorHAnsi" w:hAnsiTheme="majorHAnsi"/>
          <w:noProof/>
        </w:rPr>
        <w:t>2</w:t>
      </w:r>
    </w:fldSimple>
  </w:p>
  <w:p w:rsidR="003563FE" w:rsidRDefault="003563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543" w:rsidRDefault="00CC7543" w:rsidP="003563FE">
      <w:pPr>
        <w:spacing w:after="0" w:line="240" w:lineRule="auto"/>
      </w:pPr>
      <w:r>
        <w:separator/>
      </w:r>
    </w:p>
  </w:footnote>
  <w:footnote w:type="continuationSeparator" w:id="0">
    <w:p w:rsidR="00CC7543" w:rsidRDefault="00CC7543" w:rsidP="0035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3FE" w:rsidRDefault="003563F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Sreedhar Vasomsetti</w:t>
    </w:r>
  </w:p>
  <w:p w:rsidR="003563FE" w:rsidRDefault="003563FE" w:rsidP="003563FE">
    <w:pPr>
      <w:pStyle w:val="Header"/>
      <w:jc w:val="center"/>
    </w:pPr>
    <w:r>
      <w:t>Phone: (316) 350-</w:t>
    </w:r>
    <w:proofErr w:type="gramStart"/>
    <w:r>
      <w:t>4530  Email</w:t>
    </w:r>
    <w:proofErr w:type="gramEnd"/>
    <w:r>
      <w:t>: svasomsetti@gmail.com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3E542E"/>
    <w:multiLevelType w:val="hybridMultilevel"/>
    <w:tmpl w:val="719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14977"/>
    <w:multiLevelType w:val="hybridMultilevel"/>
    <w:tmpl w:val="23665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A5D06"/>
    <w:multiLevelType w:val="hybridMultilevel"/>
    <w:tmpl w:val="0A6C1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D23E8"/>
    <w:multiLevelType w:val="hybridMultilevel"/>
    <w:tmpl w:val="5F2EF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3FE"/>
    <w:rsid w:val="003563FE"/>
    <w:rsid w:val="0057027A"/>
    <w:rsid w:val="00710C47"/>
    <w:rsid w:val="008C7F1E"/>
    <w:rsid w:val="008E5B20"/>
    <w:rsid w:val="00CC7543"/>
    <w:rsid w:val="00E07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FE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3FE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56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3FE"/>
  </w:style>
  <w:style w:type="paragraph" w:styleId="Footer">
    <w:name w:val="footer"/>
    <w:basedOn w:val="Normal"/>
    <w:link w:val="FooterChar"/>
    <w:uiPriority w:val="99"/>
    <w:unhideWhenUsed/>
    <w:rsid w:val="00356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3FE"/>
  </w:style>
  <w:style w:type="paragraph" w:styleId="BalloonText">
    <w:name w:val="Balloon Text"/>
    <w:basedOn w:val="Normal"/>
    <w:link w:val="BalloonTextChar"/>
    <w:uiPriority w:val="99"/>
    <w:semiHidden/>
    <w:unhideWhenUsed/>
    <w:rsid w:val="0035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Sreedhar Vasomsetti</dc:title>
  <dc:creator>CenturyLink Employee</dc:creator>
  <cp:lastModifiedBy>CenturyLink Employee</cp:lastModifiedBy>
  <cp:revision>1</cp:revision>
  <dcterms:created xsi:type="dcterms:W3CDTF">2017-06-15T19:46:00Z</dcterms:created>
  <dcterms:modified xsi:type="dcterms:W3CDTF">2017-06-15T20:19:00Z</dcterms:modified>
</cp:coreProperties>
</file>