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3864"/>
          <w:sz w:val="56"/>
          <w:szCs w:val="56"/>
        </w:rPr>
        <w:t xml:space="preserve">Nowcast-Congreso</w:t>
      </w:r>
    </w:p>
    <w:p>
      <w:pPr>
        <w:spacing w:after="240"/>
        <w:jc w:val="center"/>
      </w:pPr>
      <w:r>
        <w:rPr>
          <w:color w:val="2E75B6"/>
          <w:sz w:val="26"/>
          <w:szCs w:val="26"/>
        </w:rPr>
        <w:t xml:space="preserve">Validación crítica, viabilidad técnica, atractivo y plan de implementación local → nube</w:t>
      </w:r>
    </w:p>
    <w:p>
      <w:pPr>
        <w:spacing w:after="80"/>
        <w:jc w:val="center"/>
      </w:pPr>
      <w:r>
        <w:rPr>
          <w:i/>
          <w:iCs/>
          <w:color w:val="595959"/>
          <w:sz w:val="22"/>
          <w:szCs w:val="22"/>
        </w:rPr>
        <w:t xml:space="preserve">Sistema B2B que estima la probabilidad de sanción de proyectos de ley en el Congreso argentino</w:t>
      </w:r>
    </w:p>
    <w:p>
      <w:pPr>
        <w:spacing w:before="520"/>
        <w:jc w:val="center"/>
      </w:pPr>
      <w:r>
        <w:rPr>
          <w:color w:val="595959"/>
          <w:sz w:val="22"/>
          <w:szCs w:val="22"/>
        </w:rPr>
        <w:t xml:space="preserve">Informe ejecutivo · 25 de junio de 2026</w:t>
      </w:r>
    </w:p>
    <w:p>
      <w:pPr>
        <w:jc w:val="center"/>
      </w:pPr>
      <w:r>
        <w:rPr>
          <w:color w:val="595959"/>
          <w:sz w:val="20"/>
          <w:szCs w:val="20"/>
        </w:rPr>
        <w:t xml:space="preserve">Preparado para Franco · Modo ahorro-tokens</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40"/>
      </w:pPr>
      <w:r>
        <w:t xml:space="preserve">El proyecto es técnicamente viable y aborda un hueco de mercado real, pero su riesgo no es de infraestructura sino de señal y de encuadre de producto. Esta sesión validó las afirmaciones centrales del estudio de viabilidad y del premortem existentes contra fuentes externas. Cuatro de cinco afirmaciones se confirmaron; una —la más importante para la estrategia— resultó mal calibrada.</w:t>
      </w:r>
    </w:p>
    <w:p>
      <w:pPr>
        <w:spacing w:after="140"/>
      </w:pPr>
      <w:r>
        <w:rPr>
          <w:b/>
          <w:bCs/>
        </w:rPr>
        <w:t xml:space="preserve">Hallazgo principal: </w:t>
      </w:r>
      <w:r>
        <w:t xml:space="preserve">el supuesto que ancla todo el análisis previo —que la heurística “votá con tu bloque” acierta más del 90% y por lo tanto el modelo de machine learning no tiene margen— está probablemente inflado por las votaciones cuasi-unánimes. La literatura académica mide la cohesión de bloque en torno al 77% en Diputados y al 74% en el Senado. En el subconjunto de votaciones disputadas, que es donde vive el valor comercial, el piso real es cercano al 77%, lo que abre espacio para que el modelo aporte entre 8 y 12 puntos de valor incremental. Medir mal ese piso es, en sí mismo, un nuevo modo de fallo.</w:t>
      </w:r>
    </w:p>
    <w:p>
      <w:pPr>
        <w:spacing w:after="140"/>
      </w:pPr>
      <w:r>
        <w:rPr>
          <w:b/>
          <w:bCs/>
        </w:rPr>
        <w:t xml:space="preserve">Recomendación de encuadre: </w:t>
      </w:r>
      <w:r>
        <w:t xml:space="preserve">vender un radar de detección temprana más un mapa de legisladores pivote (augmentation), con la probabilidad de aprobación como feature interno y no como titular. Elegir un comprador-ancla —las consultoras de asuntos públicos— en lugar de perseguir a la vez consultoras, fondos, empresas e individuos. Congelar la arquitectura cloud pesada hasta tener un baseline medido y un pagador comprometido.</w:t>
      </w:r>
    </w:p>
    <w:p>
      <w:pPr>
        <w:pStyle w:val="Heading1"/>
      </w:pPr>
      <w:r>
        <w:t xml:space="preserve">2. Resultados de la validación</w:t>
      </w:r>
    </w:p>
    <w:p>
      <w:pPr>
        <w:spacing w:after="140"/>
      </w:pPr>
      <w:r>
        <w:t xml:space="preserve">Se contrastaron cinco afirmaciones del estudio de viabilidad y del premortem contra fuentes oficiales, agregadores comunitarios y literatura académica.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3960"/>
      </w:tblGrid>
      <w:tr>
        <w:tc>
          <w:tcPr>
            <w:tcW w:type="dxa" w:w="370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rPr>
              <w:t xml:space="preserve">Afirmación</w:t>
            </w:r>
          </w:p>
        </w:tc>
        <w:tc>
          <w:tcPr>
            <w:tcW w:type="dxa" w:w="170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rPr>
              <w:t xml:space="preserve">Veredicto</w:t>
            </w:r>
          </w:p>
        </w:tc>
        <w:tc>
          <w:tcPr>
            <w:tcW w:type="dxa" w:w="396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rPr>
              <w:t xml:space="preserve">Evidencia</w:t>
            </w:r>
          </w:p>
        </w:tc>
      </w:tr>
      <w:tr>
        <w:tc>
          <w:tcPr>
            <w:tcW w:type="dxa" w:w="370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CKAN HCDN expone votaciones nominales, expedientes y legisladores, vivos</w:t>
            </w:r>
          </w:p>
        </w:tc>
        <w:tc>
          <w:tcPr>
            <w:tcW w:type="dxa" w:w="170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bCs/>
                <w:color w:val="2E7D32"/>
              </w:rPr>
              <w:t xml:space="preserve">Confirmado</w:t>
            </w:r>
          </w:p>
        </w:tc>
        <w:tc>
          <w:tcPr>
            <w:tcW w:type="dxa" w:w="396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Dataset de votaciones nominales períodos 129 a 137 (137 en curso); composición actual activa</w:t>
            </w:r>
          </w:p>
        </w:tc>
      </w:tr>
      <w:tr>
        <w:tc>
          <w:tcPr>
            <w:tcW w:type="dxa" w:w="370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Senado menos estructurado que Diputados</w:t>
            </w:r>
          </w:p>
        </w:tc>
        <w:tc>
          <w:tcPr>
            <w:tcW w:type="dxa" w:w="170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bCs/>
                <w:color w:val="2E7D32"/>
              </w:rPr>
              <w:t xml:space="preserve">Confirmado</w:t>
            </w:r>
          </w:p>
        </w:tc>
        <w:tc>
          <w:tcPr>
            <w:tcW w:type="dxa" w:w="396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DatosAbiertos Senado + argentinadatos.com como agregador</w:t>
            </w:r>
          </w:p>
        </w:tc>
      </w:tr>
      <w:tr>
        <w:tc>
          <w:tcPr>
            <w:tcW w:type="dxa" w:w="370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Drift por recambio legislativo</w:t>
            </w:r>
          </w:p>
        </w:tc>
        <w:tc>
          <w:tcPr>
            <w:tcW w:type="dxa" w:w="170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bCs/>
                <w:color w:val="B8860B"/>
              </w:rPr>
              <w:t xml:space="preserve">Confirmado y agravado</w:t>
            </w:r>
          </w:p>
        </w:tc>
        <w:tc>
          <w:tcPr>
            <w:tcW w:type="dxa" w:w="396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Elecciones legislativas del 26-oct-2025; nueva cámara desde ~10-dic-2025</w:t>
            </w:r>
          </w:p>
        </w:tc>
      </w:tr>
      <w:tr>
        <w:tc>
          <w:tcPr>
            <w:tcW w:type="dxa" w:w="370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Mercado cubierto solo por consultoras cualitativas</w:t>
            </w:r>
          </w:p>
        </w:tc>
        <w:tc>
          <w:tcPr>
            <w:tcW w:type="dxa" w:w="170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bCs/>
                <w:color w:val="2E7D32"/>
              </w:rPr>
              <w:t xml:space="preserve">Confirmado</w:t>
            </w:r>
          </w:p>
        </w:tc>
        <w:tc>
          <w:tcPr>
            <w:tcW w:type="dxa" w:w="396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EGES (20+ años, reportes semanales), Directorio Legislativo (desde 2000), CIPPEC</w:t>
            </w:r>
          </w:p>
        </w:tc>
      </w:tr>
      <w:tr>
        <w:tc>
          <w:tcPr>
            <w:tcW w:type="dxa" w:w="370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Baseline de bloque mayor al 90%</w:t>
            </w:r>
          </w:p>
        </w:tc>
        <w:tc>
          <w:tcPr>
            <w:tcW w:type="dxa" w:w="170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bCs/>
                <w:color w:val="C00000"/>
              </w:rPr>
              <w:t xml:space="preserve">Mal calibrado</w:t>
            </w:r>
          </w:p>
        </w:tc>
        <w:tc>
          <w:tcPr>
            <w:tcW w:type="dxa" w:w="396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Cohesión académica: Diputados 76,9% / Senado 74,3% (UDESA). El &gt;90% solo surge contando votaciones unánimes</w:t>
            </w:r>
          </w:p>
        </w:tc>
      </w:tr>
    </w:tbl>
    <w:p>
      <w:pPr>
        <w:spacing w:after="140" w:before="120"/>
      </w:pPr>
      <w:r>
        <w:rPr>
          <w:i/>
          <w:iCs/>
        </w:rPr>
        <w:t xml:space="preserve">Implicancia: la materia prima de datos existe y está viva; el cuello de botella real es el trabajo de ingestión y resolución de entidades, y la medición correcta del baseline.</w:t>
      </w:r>
    </w:p>
    <w:p>
      <w:pPr>
        <w:pStyle w:val="Heading1"/>
      </w:pPr>
      <w:r>
        <w:t xml:space="preserve">3. Viabilidad técnica</w:t>
      </w:r>
    </w:p>
    <w:p>
      <w:pPr>
        <w:spacing w:after="140"/>
      </w:pPr>
      <w:r>
        <w:t xml:space="preserve">El veredicto se mantiene: viable como producto analítico, frágil como “predictor de aprobación” puro. El stack local (Python + notebooks) es trivial de montar y la proyección a la nube es ingeniería estándar sin obstáculos técnicos. La dificultad no está en la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rPr>
              <w:t xml:space="preserve">Dimensión</w:t>
            </w:r>
          </w:p>
        </w:tc>
        <w:tc>
          <w:tcPr>
            <w:tcW w:type="dxa" w:w="234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rPr>
              <w:t xml:space="preserve">Evaluación</w:t>
            </w:r>
          </w:p>
        </w:tc>
        <w:tc>
          <w:tcPr>
            <w:tcW w:type="dxa" w:w="234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rPr>
              <w:t xml:space="preserve">Costo / dificultad</w:t>
            </w:r>
          </w:p>
        </w:tc>
      </w:tr>
      <w:tr>
        <w:tc>
          <w:tcPr>
            <w:tcW w:type="dxa" w:w="468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Datos disponibles (Diputados)</w:t>
            </w:r>
          </w:p>
        </w:tc>
        <w:tc>
          <w:tcPr>
            <w:tcW w:type="dxa" w:w="234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Alta</w:t>
            </w:r>
          </w:p>
        </w:tc>
        <w:tc>
          <w:tcPr>
            <w:tcW w:type="dxa" w:w="234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Bajo</w:t>
            </w:r>
          </w:p>
        </w:tc>
      </w:tr>
      <w:tr>
        <w:tc>
          <w:tcPr>
            <w:tcW w:type="dxa" w:w="468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Datos disponibles (Senado)</w:t>
            </w:r>
          </w:p>
        </w:tc>
        <w:tc>
          <w:tcPr>
            <w:tcW w:type="dxa" w:w="234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Media</w:t>
            </w:r>
          </w:p>
        </w:tc>
        <w:tc>
          <w:tcPr>
            <w:tcW w:type="dxa" w:w="234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Medio</w:t>
            </w:r>
          </w:p>
        </w:tc>
      </w:tr>
      <w:tr>
        <w:tc>
          <w:tcPr>
            <w:tcW w:type="dxa" w:w="468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Ingestión, limpieza y resolución de entidades</w:t>
            </w:r>
          </w:p>
        </w:tc>
        <w:tc>
          <w:tcPr>
            <w:tcW w:type="dxa" w:w="234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Es el verdadero costo del MVP</w:t>
            </w:r>
          </w:p>
        </w:tc>
        <w:tc>
          <w:tcPr>
            <w:tcW w:type="dxa" w:w="234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Alto</w:t>
            </w:r>
          </w:p>
        </w:tc>
      </w:tr>
      <w:tr>
        <w:tc>
          <w:tcPr>
            <w:tcW w:type="dxa" w:w="468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Modelo de voto individual</w:t>
            </w:r>
          </w:p>
        </w:tc>
        <w:tc>
          <w:tcPr>
            <w:tcW w:type="dxa" w:w="234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Accesible</w:t>
            </w:r>
          </w:p>
        </w:tc>
        <w:tc>
          <w:tcPr>
            <w:tcW w:type="dxa" w:w="234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Medio</w:t>
            </w:r>
          </w:p>
        </w:tc>
      </w:tr>
      <w:tr>
        <w:tc>
          <w:tcPr>
            <w:tcW w:type="dxa" w:w="468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Modelo del embudo (comisión → recinto)</w:t>
            </w:r>
          </w:p>
        </w:tc>
        <w:tc>
          <w:tcPr>
            <w:tcW w:type="dxa" w:w="234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Donde está el valor y la dificultad</w:t>
            </w:r>
          </w:p>
        </w:tc>
        <w:tc>
          <w:tcPr>
            <w:tcW w:type="dxa" w:w="234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Alto</w:t>
            </w:r>
          </w:p>
        </w:tc>
      </w:tr>
      <w:tr>
        <w:tc>
          <w:tcPr>
            <w:tcW w:type="dxa" w:w="468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Estabilidad temporal (drift)</w:t>
            </w:r>
          </w:p>
        </w:tc>
        <w:tc>
          <w:tcPr>
            <w:tcW w:type="dxa" w:w="234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Baja</w:t>
            </w:r>
          </w:p>
        </w:tc>
        <w:tc>
          <w:tcPr>
            <w:tcW w:type="dxa" w:w="234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Estructural</w:t>
            </w:r>
          </w:p>
        </w:tc>
      </w:tr>
      <w:tr>
        <w:tc>
          <w:tcPr>
            <w:tcW w:type="dxa" w:w="468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Stack local y proyección a nube</w:t>
            </w:r>
          </w:p>
        </w:tc>
        <w:tc>
          <w:tcPr>
            <w:tcW w:type="dxa" w:w="234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Sin obstáculos</w:t>
            </w:r>
          </w:p>
        </w:tc>
        <w:tc>
          <w:tcPr>
            <w:tcW w:type="dxa" w:w="234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Bajo</w:t>
            </w:r>
          </w:p>
        </w:tc>
      </w:tr>
    </w:tbl>
    <w:p>
      <w:pPr>
        <w:spacing w:after="140"/>
      </w:pPr>
      <w:r>
        <w:t xml:space="preserve">La arquitectura tiene tres componentes: un modelo de voto individual (clasificador por legislador), un agregador institucional (reglas de quórum y mayorías) y una capa de embudo que modela la supervivencia del proyecto antes de llegar al recinto. Esta tercera capa es lo que distingue un nowcast real de un ejercicio académico y es donde se concentra el valor diferencial.</w:t>
      </w:r>
    </w:p>
    <w:p>
      <w:pPr>
        <w:pStyle w:val="Heading1"/>
      </w:pPr>
      <w:r>
        <w:t xml:space="preserve">4. Atractivo de mercado</w:t>
      </w:r>
    </w:p>
    <w:p>
      <w:pPr>
        <w:spacing w:after="140"/>
      </w:pPr>
      <w:r>
        <w:t xml:space="preserve">La demanda es real y los compradores están identificados: consultoras de asuntos públicos y monitoreo legislativo ya operan y cobran (EGES, Synopsis, Directorio Legislativo, entre otras). Hoy venden monitoreo cualitativo, juicio experto y contactos, con reportes semanales.</w:t>
      </w:r>
    </w:p>
    <w:p>
      <w:pPr>
        <w:spacing w:after="140"/>
      </w:pPr>
      <w:r>
        <w:rPr>
          <w:b/>
          <w:bCs/>
        </w:rPr>
        <w:t xml:space="preserve">El hueco: </w:t>
      </w:r>
      <w:r>
        <w:t xml:space="preserve">ninguna ofrece una capa cuantitativa y probabilística reproducible —detección temprana de qué proyectos ganan tracción, mapa de legisladores pivote y escenarios de resultado. El posicionamiento sugerido es augmentation, no oráculo: vender radar, priorización y explicabilidad, no la bola de cristal. Esto neutraliza la desconfianza a la caja negra y el riesgo reputacional.</w:t>
      </w:r>
    </w:p>
    <w:p>
      <w:pPr>
        <w:pStyle w:val="Heading1"/>
      </w:pPr>
      <w:r>
        <w:t xml:space="preserve">5. Premortem actualizado</w:t>
      </w:r>
    </w:p>
    <w:p>
      <w:pPr>
        <w:spacing w:after="140"/>
      </w:pPr>
      <w:r>
        <w:t xml:space="preserve">Se revalidó el premortem del mismo día y se agregaron tres modos de fallo nuevos surgidos de la investigación, para un total de once. La síntesis: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r>
              <w:rPr>
                <w:b/>
                <w:bCs/>
              </w:rPr>
              <w:t xml:space="preserve">Fallo más probable</w:t>
            </w:r>
          </w:p>
        </w:tc>
        <w:tc>
          <w:tcPr>
            <w:tcW w:type="dxa" w:w="676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Sobre-ingeniería (arquitectura v2.1) combinada con el pipeline de ETL devorando el cronograma: se construye mucho antes de medir el baseline y antes de tener un pagador.</w:t>
            </w:r>
          </w:p>
        </w:tc>
      </w:tr>
      <w:tr>
        <w:tc>
          <w:tcPr>
            <w:tcW w:type="dxa" w:w="26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r>
              <w:rPr>
                <w:b/>
                <w:bCs/>
              </w:rPr>
              <w:t xml:space="preserve">Fallo más peligroso</w:t>
            </w:r>
          </w:p>
        </w:tc>
        <w:tc>
          <w:tcPr>
            <w:tcW w:type="dxa" w:w="676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Sesgo de selección: un nowcast entrenado solo con lo votado no aplica al universo real de proyectos (la mayoría muere en comisión) y nadie lo nota hasta una decisión cara del cliente.</w:t>
            </w:r>
          </w:p>
        </w:tc>
      </w:tr>
      <w:tr>
        <w:tc>
          <w:tcPr>
            <w:tcW w:type="dxa" w:w="26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r>
              <w:rPr>
                <w:b/>
                <w:bCs/>
              </w:rPr>
              <w:t xml:space="preserve">Supuesto oculto</w:t>
            </w:r>
          </w:p>
        </w:tc>
        <w:tc>
          <w:tcPr>
            <w:tcW w:type="dxa" w:w="676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“El resultado de una ley es función de los atributos del proyecto”. En realidad es función de la negociación de cúpula, exógena a los datos abiertos. El modelo captura disciplina de bloque, no el deal político.</w:t>
            </w:r>
          </w:p>
        </w:tc>
      </w:tr>
      <w:tr>
        <w:tc>
          <w:tcPr>
            <w:tcW w:type="dxa" w:w="26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r>
              <w:rPr>
                <w:b/>
                <w:bCs/>
              </w:rPr>
              <w:t xml:space="preserve">Corrección #1</w:t>
            </w:r>
          </w:p>
        </w:tc>
        <w:tc>
          <w:tcPr>
            <w:tcW w:type="dxa" w:w="676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r>
              <w:rPr>
                <w:b w:val="false"/>
                <w:bCs w:val="false"/>
              </w:rPr>
              <w:t xml:space="preserve">Medir el baseline de bloque separando votaciones unánimes de disputadas en la semana 1, antes de construir nada. El piso del subconjunto disputado decide si hay producto.</w:t>
            </w:r>
          </w:p>
        </w:tc>
      </w:tr>
    </w:tbl>
    <w:p>
      <w:pPr>
        <w:spacing w:before="140"/>
      </w:pPr>
      <w:r>
        <w:rPr>
          <w:b/>
          <w:bCs/>
        </w:rPr>
        <w:t xml:space="preserve">Tres modos de fallo nuevos (sobre los 8 originales):</w:t>
      </w:r>
    </w:p>
    <w:p>
      <w:pPr>
        <w:pStyle w:val="ListParagraph"/>
        <w:numPr>
          <w:ilvl w:val="0"/>
          <w:numId w:val="2"/>
        </w:numPr>
        <w:spacing w:after="60"/>
      </w:pPr>
      <w:r>
        <w:t xml:space="preserve">#9 Trampa del baseline mal medido: medir el bloque sobre todas las votaciones da más de 90% (inflado por unánimes) y mata el producto por error; sobre disputadas da ~77% y hay lugar para el modelo.</w:t>
      </w:r>
    </w:p>
    <w:p>
      <w:pPr>
        <w:pStyle w:val="ListParagraph"/>
        <w:numPr>
          <w:ilvl w:val="0"/>
          <w:numId w:val="2"/>
        </w:numPr>
        <w:spacing w:after="60"/>
      </w:pPr>
      <w:r>
        <w:t xml:space="preserve">#10 Sobre-ingeniería v2.1 antes de validar: cinco servicios en Oracle Cloud, Context Engine con LLM, conformal prediction — todo antes de un cliente o un baseline.</w:t>
      </w:r>
    </w:p>
    <w:p>
      <w:pPr>
        <w:pStyle w:val="ListParagraph"/>
        <w:numPr>
          <w:ilvl w:val="0"/>
          <w:numId w:val="2"/>
        </w:numPr>
        <w:spacing w:after="60"/>
      </w:pPr>
      <w:r>
        <w:t xml:space="preserve">#11 Mercado B2B demasiado amplio: consultoras, individuos, empresas y fondos quieren cosas distintas; sin comprador-ancla no hay foco de producto ni de pricing.</w:t>
      </w:r>
    </w:p>
    <w:p>
      <w:pPr>
        <w:spacing w:after="140"/>
      </w:pPr>
      <w:r>
        <w:rPr>
          <w:i/>
          <w:iCs/>
        </w:rPr>
        <w:t xml:space="preserve">El detalle completo de los once modos, con historia de fallo, supuesto subyacente y señales de advertencia, está en el informe HTML premortem-report-20260625-validado.html y su transcripción.</w:t>
      </w:r>
    </w:p>
    <w:p>
      <w:pPr>
        <w:pStyle w:val="Heading1"/>
      </w:pPr>
      <w:r>
        <w:t xml:space="preserve">6. Recomendación de encuadre (se pidió evaluar ambos)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rPr>
              <w:t xml:space="preserve">Radar + pivotes (augmentation)</w:t>
            </w:r>
          </w:p>
        </w:tc>
        <w:tc>
          <w:tcPr>
            <w:tcW w:type="dxa" w:w="468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tcPr>
          <w:p>
            <w:r>
              <w:rPr>
                <w:b/>
                <w:bCs/>
                <w:color w:val="FFFFFF"/>
              </w:rPr>
              <w:t xml:space="preserve">P(aprobación) puro</w:t>
            </w:r>
          </w:p>
        </w:tc>
      </w:tr>
      <w:tr>
        <w:tc>
          <w:tcPr>
            <w:tcW w:type="dxa" w:w="468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pPr>
              <w:spacing w:after="140"/>
            </w:pPr>
            <w:r>
              <w:t xml:space="preserve">Menor riesgo reputacional. Encaja con cómo compran las consultoras. Vendible sin prometer certezas. Explicable.</w:t>
            </w:r>
          </w:p>
          <w:p>
            <w:r>
              <w:rPr>
                <w:b/>
                <w:bCs/>
                <w:color w:val="2E7D32"/>
              </w:rPr>
              <w:t xml:space="preserve">Recomendado como producto.</w:t>
            </w:r>
          </w:p>
        </w:tc>
        <w:tc>
          <w:tcPr>
            <w:tcW w:type="dxa" w:w="4680"/>
            <w:tcBorders>
              <w:top w:val="single" w:color="BBBBBB" w:sz="1"/>
              <w:left w:val="single" w:color="BBBBBB" w:sz="1"/>
              <w:bottom w:val="single" w:color="BBBBBB" w:sz="1"/>
              <w:right w:val="single" w:color="BBBBBB" w:sz="1"/>
            </w:tcBorders>
            <w:shd w:val="clear"/>
            <w:tcMar>
              <w:top w:type="dxa" w:w="60"/>
              <w:left w:type="dxa" w:w="110"/>
              <w:bottom w:type="dxa" w:w="60"/>
              <w:right w:type="dxa" w:w="110"/>
            </w:tcMar>
          </w:tcPr>
          <w:p>
            <w:pPr>
              <w:spacing w:after="140"/>
            </w:pPr>
            <w:r>
              <w:t xml:space="preserve">Mejor titular comercial, pero frágil ante errores visibles y con riesgo legal por nombrar personas.</w:t>
            </w:r>
          </w:p>
          <w:p>
            <w:r>
              <w:rPr>
                <w:b/>
                <w:bCs/>
                <w:color w:val="C00000"/>
              </w:rPr>
              <w:t xml:space="preserve">Mantener como feature interno, no como producto.</w:t>
            </w:r>
          </w:p>
        </w:tc>
      </w:tr>
    </w:tbl>
    <w:p>
      <w:pPr>
        <w:spacing w:before="120"/>
      </w:pPr>
      <w:r>
        <w:rPr>
          <w:b/>
          <w:bCs/>
        </w:rPr>
        <w:t xml:space="preserve">Comprador-ancla recomendado: </w:t>
      </w:r>
      <w:r>
        <w:t xml:space="preserve">consultoras de asuntos públicos. Los fondos macro, las empresas y los clientes individuales son expansión posterior, no foco inicial.</w:t>
      </w:r>
    </w:p>
    <w:p>
      <w:pPr>
        <w:pStyle w:val="Heading1"/>
      </w:pPr>
      <w:r>
        <w:t xml:space="preserve">7. Plan de implementación: local → nube</w:t>
      </w:r>
    </w:p>
    <w:p>
      <w:pPr>
        <w:spacing w:after="140"/>
      </w:pPr>
      <w:r>
        <w:t xml:space="preserve">Secuencia disciplinada: medir antes de modelar, modelar antes de construir infraestructura, y validar un pagador antes de migrar a la nube. Cada fase tiene un gate cuantitativo de pase.</w:t>
      </w:r>
    </w:p>
    <w:p>
      <w:pPr>
        <w:pStyle w:val="Heading2"/>
      </w:pPr>
      <w:r>
        <w:t xml:space="preserve">Fase 0 — Validación de datos y baseline (1–2 semanas)</w:t>
      </w:r>
    </w:p>
    <w:p>
      <w:pPr>
        <w:pStyle w:val="ListParagraph"/>
        <w:numPr>
          <w:ilvl w:val="0"/>
          <w:numId w:val="2"/>
        </w:numPr>
        <w:spacing w:after="60"/>
      </w:pPr>
      <w:r>
        <w:t xml:space="preserve">Descargar votaciones nominales de Diputados (CKAN) y construir el dataset legislador × votación.</w:t>
      </w:r>
    </w:p>
    <w:p>
      <w:pPr>
        <w:pStyle w:val="ListParagraph"/>
        <w:numPr>
          <w:ilvl w:val="0"/>
          <w:numId w:val="2"/>
        </w:numPr>
        <w:spacing w:after="60"/>
      </w:pPr>
      <w:r>
        <w:rPr>
          <w:b/>
          <w:bCs/>
        </w:rPr>
        <w:t xml:space="preserve">Medir el baseline de bloque en DOS cortes: </w:t>
      </w:r>
      <w:r>
        <w:t xml:space="preserve">todas las votaciones vs. solo las disputadas. Este es el cambio clave respecto del plan anterior.</w:t>
      </w:r>
    </w:p>
    <w:p>
      <w:pPr>
        <w:pStyle w:val="ListParagraph"/>
        <w:numPr>
          <w:ilvl w:val="0"/>
          <w:numId w:val="2"/>
        </w:numPr>
        <w:spacing w:after="60"/>
      </w:pPr>
      <w:r>
        <w:t xml:space="preserve">Cuantificar el % de proyectos que llegan a votación nominal (tamaño del sesgo de selección).</w:t>
      </w:r>
    </w:p>
    <w:p>
      <w:pPr>
        <w:pStyle w:val="ListParagraph"/>
        <w:numPr>
          <w:ilvl w:val="0"/>
          <w:numId w:val="2"/>
        </w:numPr>
        <w:spacing w:after="60"/>
      </w:pPr>
      <w:r>
        <w:rPr>
          <w:b/>
          <w:bCs/>
        </w:rPr>
        <w:t xml:space="preserve">Gate: </w:t>
      </w:r>
      <w:r>
        <w:t xml:space="preserve">piso del subconjunto disputado fijado como benchmark; si en disputadas el bloque ya supera ~88%, redefinir el producto hacia pivotes antes de seguir.</w:t>
      </w:r>
    </w:p>
    <w:p>
      <w:pPr>
        <w:pStyle w:val="Heading2"/>
      </w:pPr>
      <w:r>
        <w:t xml:space="preserve">Fase 1 — Modelo de voto individual (2–3 semanas)</w:t>
      </w:r>
    </w:p>
    <w:p>
      <w:pPr>
        <w:pStyle w:val="ListParagraph"/>
        <w:numPr>
          <w:ilvl w:val="0"/>
          <w:numId w:val="2"/>
        </w:numPr>
        <w:spacing w:after="60"/>
      </w:pPr>
      <w:r>
        <w:t xml:space="preserve">Features de legislador (bloque, provincia, historial, presentismo) × features de proyecto (tema, autor, cámara de origen, mayoría requerida).</w:t>
      </w:r>
    </w:p>
    <w:p>
      <w:pPr>
        <w:pStyle w:val="ListParagraph"/>
        <w:numPr>
          <w:ilvl w:val="0"/>
          <w:numId w:val="2"/>
        </w:numPr>
        <w:spacing w:after="60"/>
      </w:pPr>
      <w:r>
        <w:t xml:space="preserve">Clasificador supervisado vs. baseline, con foco en el subconjunto de votos cruzados.</w:t>
      </w:r>
    </w:p>
    <w:p>
      <w:pPr>
        <w:pStyle w:val="ListParagraph"/>
        <w:numPr>
          <w:ilvl w:val="0"/>
          <w:numId w:val="2"/>
        </w:numPr>
        <w:spacing w:after="60"/>
      </w:pPr>
      <w:r>
        <w:t xml:space="preserve">Agregador institucional con reglas de quórum y mayorías (simple, absoluta, dos tercios).</w:t>
      </w:r>
    </w:p>
    <w:p>
      <w:pPr>
        <w:pStyle w:val="ListParagraph"/>
        <w:numPr>
          <w:ilvl w:val="0"/>
          <w:numId w:val="2"/>
        </w:numPr>
        <w:spacing w:after="60"/>
      </w:pPr>
      <w:r>
        <w:rPr>
          <w:b/>
          <w:bCs/>
        </w:rPr>
        <w:t xml:space="preserve">Gate: </w:t>
      </w:r>
      <w:r>
        <w:t xml:space="preserve">el modelo supera al baseline de bloque en los votos cruzados, no solo en accuracy global.</w:t>
      </w:r>
    </w:p>
    <w:p>
      <w:pPr>
        <w:pStyle w:val="Heading2"/>
      </w:pPr>
      <w:r>
        <w:t xml:space="preserve">Fase 2 — Capa de embudo y nowcast (2–4 semanas)</w:t>
      </w:r>
    </w:p>
    <w:p>
      <w:pPr>
        <w:pStyle w:val="ListParagraph"/>
        <w:numPr>
          <w:ilvl w:val="0"/>
          <w:numId w:val="2"/>
        </w:numPr>
        <w:spacing w:after="60"/>
      </w:pPr>
      <w:r>
        <w:t xml:space="preserve">Modelar supervivencia en comisión, probabilidad de dictamen y probabilidad de tratamiento.</w:t>
      </w:r>
    </w:p>
    <w:p>
      <w:pPr>
        <w:pStyle w:val="ListParagraph"/>
        <w:numPr>
          <w:ilvl w:val="0"/>
          <w:numId w:val="2"/>
        </w:numPr>
        <w:spacing w:after="60"/>
      </w:pPr>
      <w:r>
        <w:t xml:space="preserve">Componer: P(aprobación) = P(llega al recinto) × P(mayoría | recinto).</w:t>
      </w:r>
    </w:p>
    <w:p>
      <w:pPr>
        <w:pStyle w:val="ListParagraph"/>
        <w:numPr>
          <w:ilvl w:val="0"/>
          <w:numId w:val="2"/>
        </w:numPr>
        <w:spacing w:after="60"/>
      </w:pPr>
      <w:r>
        <w:t xml:space="preserve">Backtesting temporal: entrenar con período t, validar en t+1, sin leakage.</w:t>
      </w:r>
    </w:p>
    <w:p>
      <w:pPr>
        <w:pStyle w:val="ListParagraph"/>
        <w:numPr>
          <w:ilvl w:val="0"/>
          <w:numId w:val="2"/>
        </w:numPr>
        <w:spacing w:after="60"/>
      </w:pPr>
      <w:r>
        <w:rPr>
          <w:b/>
          <w:bCs/>
        </w:rPr>
        <w:t xml:space="preserve">Gate: </w:t>
      </w:r>
      <w:r>
        <w:t xml:space="preserve">el nowcast del embudo mejora sobre predecir solo el voto final.</w:t>
      </w:r>
    </w:p>
    <w:p>
      <w:pPr>
        <w:pStyle w:val="Heading2"/>
      </w:pPr>
      <w:r>
        <w:t xml:space="preserve">Fase 3 — Producto interno y validación comercial (en paralelo)</w:t>
      </w:r>
    </w:p>
    <w:p>
      <w:pPr>
        <w:pStyle w:val="ListParagraph"/>
        <w:numPr>
          <w:ilvl w:val="0"/>
          <w:numId w:val="2"/>
        </w:numPr>
        <w:spacing w:after="60"/>
      </w:pPr>
      <w:r>
        <w:t xml:space="preserve">Dashboard local; 3 a 5 entrevistas con consultoras; buscar una carta de intención o piloto pago.</w:t>
      </w:r>
    </w:p>
    <w:p>
      <w:pPr>
        <w:pStyle w:val="ListParagraph"/>
        <w:numPr>
          <w:ilvl w:val="0"/>
          <w:numId w:val="2"/>
        </w:numPr>
        <w:spacing w:after="60"/>
      </w:pPr>
      <w:r>
        <w:rPr>
          <w:b/>
          <w:bCs/>
        </w:rPr>
        <w:t xml:space="preserve">Gate de nube: </w:t>
      </w:r>
      <w:r>
        <w:t xml:space="preserve">no migrar sin un pagador comprometido.</w:t>
      </w:r>
    </w:p>
    <w:p>
      <w:pPr>
        <w:pStyle w:val="Heading2"/>
      </w:pPr>
      <w:r>
        <w:t xml:space="preserve">Fase 4 — Nube (post-validación)</w:t>
      </w:r>
    </w:p>
    <w:p>
      <w:pPr>
        <w:pStyle w:val="ListParagraph"/>
        <w:numPr>
          <w:ilvl w:val="0"/>
          <w:numId w:val="2"/>
        </w:numPr>
        <w:spacing w:after="60"/>
      </w:pPr>
      <w:r>
        <w:t xml:space="preserve">Ingesta programada (cron/Cloud Scheduler), almacenamiento, ETL, base Postgres, entrenamiento batch, API (FastAPI), dashboard multiusuario.</w:t>
      </w:r>
    </w:p>
    <w:p>
      <w:pPr>
        <w:pStyle w:val="ListParagraph"/>
        <w:numPr>
          <w:ilvl w:val="0"/>
          <w:numId w:val="2"/>
        </w:numPr>
        <w:spacing w:after="60"/>
      </w:pPr>
      <w:r>
        <w:t xml:space="preserve">Autenticación, multi-tenant, monitoreo de drift, términos de uso y disclaimer.</w:t>
      </w:r>
    </w:p>
    <w:p>
      <w:pPr>
        <w:spacing w:after="140"/>
      </w:pPr>
      <w:r>
        <w:rPr>
          <w:i/>
          <w:iCs/>
        </w:rPr>
        <w:t xml:space="preserve">La decisión de migrar es comercial, no técnica. Hasta ese punto, notebooks locales.</w:t>
      </w:r>
    </w:p>
    <w:p>
      <w:pPr>
        <w:pStyle w:val="Heading1"/>
      </w:pPr>
      <w:r>
        <w:t xml:space="preserve">8. Tensión entre documentos (a resolver)</w:t>
      </w:r>
    </w:p>
    <w:p>
      <w:pPr>
        <w:spacing w:after="140"/>
      </w:pPr>
      <w:r>
        <w:t xml:space="preserve">El INSTRUCTIVO-MAESTRO describe una arquitectura cloud pesada (cinco servicios en Oracle Cloud, Context Engine con LLM batch nocturno, conformal prediction, calibración Beta, ensemble jerárquico). El estudio de viabilidad lean dice notebooks primero y nube solo con pagador. Son visiones en tensión.</w:t>
      </w:r>
    </w:p>
    <w:p>
      <w:pPr>
        <w:spacing w:after="140"/>
      </w:pPr>
      <w:r>
        <w:rPr>
          <w:b/>
          <w:bCs/>
        </w:rPr>
        <w:t xml:space="preserve">Recomendación: </w:t>
      </w:r>
      <w:r>
        <w:t xml:space="preserve">prevalece el plan lean. Conservar la arquitectura v2.1 como visión-destino, no como plan de construcción inmediato. Construir esa complejidad antes de medir el baseline y antes de tener un cliente es el fallo más probable identificado en el premortem.</w:t>
      </w:r>
    </w:p>
    <w:p>
      <w:pPr>
        <w:pStyle w:val="Heading1"/>
      </w:pPr>
      <w:r>
        <w:t xml:space="preserve">9. Próximos pasos concretos</w:t>
      </w:r>
    </w:p>
    <w:p>
      <w:pPr>
        <w:pStyle w:val="ListParagraph"/>
        <w:numPr>
          <w:ilvl w:val="0"/>
          <w:numId w:val="3"/>
        </w:numPr>
        <w:spacing w:after="60"/>
      </w:pPr>
      <w:r>
        <w:t xml:space="preserve">Crear estructura de repo: data/{raw,clean}, notebooks/, src/, requirements.txt.</w:t>
      </w:r>
    </w:p>
    <w:p>
      <w:pPr>
        <w:pStyle w:val="ListParagraph"/>
        <w:numPr>
          <w:ilvl w:val="0"/>
          <w:numId w:val="3"/>
        </w:numPr>
        <w:spacing w:after="60"/>
      </w:pPr>
      <w:r>
        <w:t xml:space="preserve">Notebook 01_ingesta: bajar votaciones nominales de CKAN HCDN y legisladores; guardar en parquet.</w:t>
      </w:r>
    </w:p>
    <w:p>
      <w:pPr>
        <w:pStyle w:val="ListParagraph"/>
        <w:numPr>
          <w:ilvl w:val="0"/>
          <w:numId w:val="3"/>
        </w:numPr>
        <w:spacing w:after="60"/>
      </w:pPr>
      <w:r>
        <w:t xml:space="preserve">Notebook 02_baseline_bloque: armar legislador × votación y medir el baseline en los dos cortes (todas / disputadas). Este número decide el rumbo del producto.</w:t>
      </w:r>
    </w:p>
    <w:p>
      <w:pPr>
        <w:pStyle w:val="ListParagraph"/>
        <w:numPr>
          <w:ilvl w:val="0"/>
          <w:numId w:val="3"/>
        </w:numPr>
        <w:spacing w:after="60"/>
      </w:pPr>
      <w:r>
        <w:t xml:space="preserve">Cuantificar el sesgo de selección: proyectos presentados vs. proyectos con votación nominal.</w:t>
      </w:r>
    </w:p>
    <w:p>
      <w:pPr>
        <w:pStyle w:val="ListParagraph"/>
        <w:numPr>
          <w:ilvl w:val="0"/>
          <w:numId w:val="3"/>
        </w:numPr>
        <w:spacing w:after="60"/>
      </w:pPr>
      <w:r>
        <w:t xml:space="preserve">Elegir el comprador-ancla y redactar términos de uso + disclaimer antes de exponer predicciones nominales.</w:t>
      </w:r>
    </w:p>
    <w:p>
      <w:pPr>
        <w:pBdr>
          <w:left w:val="single" w:color="2E75B6" w:sz="18" w:space="8"/>
        </w:pBdr>
        <w:shd w:fill="D9E2F3" w:val="clear"/>
        <w:spacing w:before="160"/>
      </w:pPr>
      <w:r>
        <w:rPr>
          <w:b/>
          <w:bCs/>
        </w:rPr>
        <w:t xml:space="preserve">Decisión pendiente para arrancar Fase 0: ¿avanzamos con el notebook de baseline de bloque sobre CKAN HCDN? Requiere tu OK explícito para escribir código.</w:t>
      </w:r>
    </w:p>
    <w:p>
      <w:pPr>
        <w:pStyle w:val="Heading1"/>
      </w:pPr>
      <w:r>
        <w:t xml:space="preserve">Fuentes</w:t>
      </w:r>
    </w:p>
    <w:p>
      <w:pPr>
        <w:pStyle w:val="ListParagraph"/>
        <w:numPr>
          <w:ilvl w:val="0"/>
          <w:numId w:val="2"/>
        </w:numPr>
        <w:spacing w:after="40"/>
      </w:pPr>
      <w:hyperlink w:history="1" r:id="rIdfflk058ubo8tdb8wetvhd">
        <w:r>
          <w:rPr>
            <w:rStyle w:val="Hyperlink"/>
          </w:rPr>
          <w:t xml:space="preserve">Votaciones Nominales — CKAN HCDN</w:t>
        </w:r>
      </w:hyperlink>
    </w:p>
    <w:p>
      <w:pPr>
        <w:pStyle w:val="ListParagraph"/>
        <w:numPr>
          <w:ilvl w:val="0"/>
          <w:numId w:val="2"/>
        </w:numPr>
        <w:spacing w:after="40"/>
      </w:pPr>
      <w:hyperlink w:history="1" r:id="rIdr8outehwsm17zsluorzua">
        <w:r>
          <w:rPr>
            <w:rStyle w:val="Hyperlink"/>
          </w:rPr>
          <w:t xml:space="preserve">Expedientes — CKAN HCDN</w:t>
        </w:r>
      </w:hyperlink>
    </w:p>
    <w:p>
      <w:pPr>
        <w:pStyle w:val="ListParagraph"/>
        <w:numPr>
          <w:ilvl w:val="0"/>
          <w:numId w:val="2"/>
        </w:numPr>
        <w:spacing w:after="40"/>
      </w:pPr>
      <w:hyperlink w:history="1" r:id="rIdgszndmizpewooghwxf_xd">
        <w:r>
          <w:rPr>
            <w:rStyle w:val="Hyperlink"/>
          </w:rPr>
          <w:t xml:space="preserve">Composición actual — Legisladores HCDN</w:t>
        </w:r>
      </w:hyperlink>
    </w:p>
    <w:p>
      <w:pPr>
        <w:pStyle w:val="ListParagraph"/>
        <w:numPr>
          <w:ilvl w:val="0"/>
          <w:numId w:val="2"/>
        </w:numPr>
        <w:spacing w:after="40"/>
      </w:pPr>
      <w:hyperlink w:history="1" r:id="rIdbyagvttoaqz8fxxgqkgeq">
        <w:r>
          <w:rPr>
            <w:rStyle w:val="Hyperlink"/>
          </w:rPr>
          <w:t xml:space="preserve">Datos Abiertos Senado</w:t>
        </w:r>
      </w:hyperlink>
    </w:p>
    <w:p>
      <w:pPr>
        <w:pStyle w:val="ListParagraph"/>
        <w:numPr>
          <w:ilvl w:val="0"/>
          <w:numId w:val="2"/>
        </w:numPr>
        <w:spacing w:after="40"/>
      </w:pPr>
      <w:hyperlink w:history="1" r:id="rIdfaefhfvn571tkpdppn-pt">
        <w:r>
          <w:rPr>
            <w:rStyle w:val="Hyperlink"/>
          </w:rPr>
          <w:t xml:space="preserve">argentinadatos.com — API pública</w:t>
        </w:r>
      </w:hyperlink>
    </w:p>
    <w:p>
      <w:pPr>
        <w:pStyle w:val="ListParagraph"/>
        <w:numPr>
          <w:ilvl w:val="0"/>
          <w:numId w:val="2"/>
        </w:numPr>
        <w:spacing w:after="40"/>
      </w:pPr>
      <w:hyperlink w:history="1" r:id="rIdyesf66pkduzhcy-ys53-m">
        <w:r>
          <w:rPr>
            <w:rStyle w:val="Hyperlink"/>
          </w:rPr>
          <w:t xml:space="preserve">Disciplina partidaria en el Congreso argentino — UDESA</w:t>
        </w:r>
      </w:hyperlink>
    </w:p>
    <w:p>
      <w:pPr>
        <w:pStyle w:val="ListParagraph"/>
        <w:numPr>
          <w:ilvl w:val="0"/>
          <w:numId w:val="2"/>
        </w:numPr>
        <w:spacing w:after="40"/>
      </w:pPr>
      <w:hyperlink w:history="1" r:id="rIdgiba4o3xj60grnzhbxrln">
        <w:r>
          <w:rPr>
            <w:rStyle w:val="Hyperlink"/>
          </w:rPr>
          <w:t xml:space="preserve">EGES — consultora asuntos públicos</w:t>
        </w:r>
      </w:hyperlink>
    </w:p>
    <w:p>
      <w:pPr>
        <w:pStyle w:val="ListParagraph"/>
        <w:numPr>
          <w:ilvl w:val="0"/>
          <w:numId w:val="2"/>
        </w:numPr>
        <w:spacing w:after="40"/>
      </w:pPr>
      <w:hyperlink w:history="1" r:id="rId8cktxn3uuby232mfcxcxz">
        <w:r>
          <w:rPr>
            <w:rStyle w:val="Hyperlink"/>
          </w:rPr>
          <w:t xml:space="preserve">Directorio Legislativo</w:t>
        </w:r>
      </w:hyperlink>
    </w:p>
    <w:p>
      <w:pPr>
        <w:pStyle w:val="ListParagraph"/>
        <w:numPr>
          <w:ilvl w:val="0"/>
          <w:numId w:val="2"/>
        </w:numPr>
        <w:spacing w:after="40"/>
      </w:pPr>
      <w:hyperlink w:history="1" r:id="rIdwwztu9hp8_gm7qgu5e1-4">
        <w:r>
          <w:rPr>
            <w:rStyle w:val="Hyperlink"/>
          </w:rPr>
          <w:t xml:space="preserve">Gerrish &amp; Blei, Predicting Legislative Roll Calls from Text (ICML 2011)</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Nowcast-Congreso · Informe de validación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flk058ubo8tdb8wetvhd" Type="http://schemas.openxmlformats.org/officeDocument/2006/relationships/hyperlink" Target="https://datos.hcdn.gob.ar/dataset/votaciones_nominales" TargetMode="External"/><Relationship Id="rIdr8outehwsm17zsluorzua" Type="http://schemas.openxmlformats.org/officeDocument/2006/relationships/hyperlink" Target="https://datos.hcdn.gob.ar/dataset/expedientes" TargetMode="External"/><Relationship Id="rIdgszndmizpewooghwxf_xd" Type="http://schemas.openxmlformats.org/officeDocument/2006/relationships/hyperlink" Target="https://datos.hcdn.gob.ar/dataset/legisladores" TargetMode="External"/><Relationship Id="rIdbyagvttoaqz8fxxgqkgeq" Type="http://schemas.openxmlformats.org/officeDocument/2006/relationships/hyperlink" Target="https://www.senado.gob.ar/micrositios/DatosAbiertos/" TargetMode="External"/><Relationship Id="rIdfaefhfvn571tkpdppn-pt" Type="http://schemas.openxmlformats.org/officeDocument/2006/relationships/hyperlink" Target="https://argentinadatos.com/" TargetMode="External"/><Relationship Id="rIdyesf66pkduzhcy-ys53-m" Type="http://schemas.openxmlformats.org/officeDocument/2006/relationships/hyperlink" Target="https://repositorio.udesa.edu.ar/items/1fe4ec25-65e8-44fd-be96-b54b05899b30" TargetMode="External"/><Relationship Id="rIdgiba4o3xj60grnzhbxrln" Type="http://schemas.openxmlformats.org/officeDocument/2006/relationships/hyperlink" Target="https://eges.com.ar/" TargetMode="External"/><Relationship Id="rId8cktxn3uuby232mfcxcxz" Type="http://schemas.openxmlformats.org/officeDocument/2006/relationships/hyperlink" Target="https://directoriolegislativo.org/" TargetMode="External"/><Relationship Id="rIdwwztu9hp8_gm7qgu5e1-4" Type="http://schemas.openxmlformats.org/officeDocument/2006/relationships/hyperlink" Target="https://icml.cc/2011/papers/333_icmlpaper.pdf"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2026-06-25T17:45:22.298Z</dcterms:created>
  <dcterms:modified xsi:type="dcterms:W3CDTF">2026-06-25T17:45:22.298Z</dcterms:modified>
</cp:coreProperties>
</file>

<file path=docProps/custom.xml><?xml version="1.0" encoding="utf-8"?>
<Properties xmlns="http://schemas.openxmlformats.org/officeDocument/2006/custom-properties" xmlns:vt="http://schemas.openxmlformats.org/officeDocument/2006/docPropsVTypes"/>
</file>