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2"/>
          <w:szCs w:val="22"/>
        </w:rPr>
        <w:t xml:space="preserve"/>
      </w:r>
    </w:p>
    <w:p>
      <w:pPr>
        <w:spacing w:after="240"/>
        <w:jc w:val="center"/>
      </w:pPr>
      <w:r>
        <w:rPr>
          <w:b/>
          <w:bCs/>
          <w:color w:val="1F3A5F"/>
          <w:sz w:val="56"/>
          <w:szCs w:val="56"/>
        </w:rPr>
        <w:t xml:space="preserve">NOWCAST LEGISLATIVO ARGENTINO</w:t>
      </w:r>
    </w:p>
    <w:p>
      <w:pPr>
        <w:spacing w:after="480"/>
        <w:jc w:val="center"/>
      </w:pPr>
      <w:r>
        <w:rPr>
          <w:i/>
          <w:iCs/>
          <w:color w:val="5A6573"/>
          <w:sz w:val="28"/>
          <w:szCs w:val="28"/>
        </w:rPr>
        <w:t xml:space="preserve">Plataforma predictiva de sanción de leyes en el Congreso de la Nación</w:t>
      </w:r>
    </w:p>
    <w:p>
      <w:pPr>
        <w:spacing w:after="1200"/>
        <w:jc w:val="center"/>
      </w:pPr>
      <w:r>
        <w:rPr>
          <w:color w:val="5A6573"/>
          <w:sz w:val="22"/>
          <w:szCs w:val="22"/>
        </w:rPr>
        <w:t xml:space="preserve">Documento Ejecutivo · Versión 2.1</w:t>
      </w:r>
    </w:p>
    <w:p>
      <w:pPr>
        <w:spacing w:after="120"/>
        <w:jc w:val="center"/>
      </w:pPr>
      <w:r>
        <w:rPr>
          <w:sz w:val="22"/>
          <w:szCs w:val="22"/>
        </w:rPr>
        <w:t xml:space="preserve">Mayo 2026</w:t>
      </w:r>
    </w:p>
    <w:p>
      <w:r>
        <w:br w:type="page"/>
      </w:r>
    </w:p>
    <w:p>
      <w:pPr>
        <w:pStyle w:val="Heading1"/>
        <w:spacing w:after="200" w:before="360"/>
      </w:pPr>
      <w:r>
        <w:rPr>
          <w:b/>
          <w:bCs/>
          <w:color w:val="1F3A5F"/>
          <w:sz w:val="32"/>
          <w:szCs w:val="32"/>
        </w:rPr>
        <w:t xml:space="preserve">Resumen Ejecutivo</w:t>
      </w:r>
    </w:p>
    <w:p>
      <w:pPr>
        <w:spacing w:after="140" w:line="320"/>
        <w:jc w:val="both"/>
      </w:pPr>
      <w:r>
        <w:rPr>
          <w:sz w:val="22"/>
          <w:szCs w:val="22"/>
        </w:rPr>
        <w:t xml:space="preserve">El Nowcast Legislativo Argentino es una plataforma predictiva que estima, semana a semana, la probabilidad de que cada proyecto de ley en trámite sea efectivamente sancionado por el Congreso de la Nación. No es un pronóstico cualitativo ni una opinión de analista: es un modelo estadístico calibrado sobre diez años de historia legislativa, que produce predicciones numéricas con bandas de confianza verificables y publicación de su propio margen de error.</w:t>
      </w:r>
    </w:p>
    <w:p>
      <w:pPr>
        <w:spacing w:after="140" w:line="320"/>
        <w:jc w:val="both"/>
      </w:pPr>
      <w:r>
        <w:rPr>
          <w:sz w:val="22"/>
          <w:szCs w:val="22"/>
        </w:rPr>
        <w:t xml:space="preserve">La plataforma combina cuatro módulos analíticos —probabilidad base, mapa de influencia legislativa, espectro ideológico real y medición de volatilidad política— y los integra mediante una arquitectura híbrida que aprovecha modelos de lenguaje para razonamiento cualitativo sobre coyuntura, modelos estadísticos para la predicción cuantitativa, y un filtro legal previo que separa correctamente derecho positivo de inferencia estadística.</w:t>
      </w:r>
    </w:p>
    <w:p>
      <w:pPr>
        <w:spacing w:after="140" w:line="320"/>
        <w:jc w:val="both"/>
      </w:pPr>
      <w:r>
        <w:rPr>
          <w:sz w:val="22"/>
          <w:szCs w:val="22"/>
        </w:rPr>
        <w:t xml:space="preserve">El sistema corre sobre infraestructura cloud de bajo costo (USD 6-13 mensuales operativos), ha sido diseñado desde el primer día con principios de resiliencia industrial frente a cambios en fuentes upstream, fallas de proveedor y derivas del modelo, y se valida exhaustivamente mediante backtesting histórico sobre cuatro regímenes políticos antes de su lanzamiento público. La metodología, las predicciones y el catálogo de modos de fallo serán publicados como compromiso de transparencia radical.</w:t>
      </w:r>
    </w:p>
    <w:p>
      <w:pPr>
        <w:spacing w:after="120"/>
      </w:pPr>
      <w:r>
        <w:t xml:space="preserve"/>
      </w:r>
    </w:p>
    <w:p>
      <w:pPr>
        <w:pStyle w:val="Heading2"/>
        <w:spacing w:after="160" w:before="280"/>
      </w:pPr>
      <w:r>
        <w:rPr>
          <w:b/>
          <w:bCs/>
          <w:color w:val="1F3A5F"/>
          <w:sz w:val="26"/>
          <w:szCs w:val="26"/>
        </w:rPr>
        <w:t xml:space="preserve">Lo que se propone al inversor</w:t>
      </w:r>
    </w:p>
    <w:p>
      <w:pPr>
        <w:pStyle w:val="ListParagraph"/>
        <w:numPr>
          <w:ilvl w:val="0"/>
          <w:numId w:val="2"/>
        </w:numPr>
        <w:spacing w:after="80" w:line="300"/>
      </w:pPr>
      <w:r>
        <w:rPr>
          <w:sz w:val="22"/>
          <w:szCs w:val="22"/>
        </w:rPr>
        <w:t xml:space="preserve">Financiamiento del desarrollo durante 16 a 22 semanas con inversión mínima en infraestructura.</w:t>
      </w:r>
    </w:p>
    <w:p>
      <w:pPr>
        <w:pStyle w:val="ListParagraph"/>
        <w:numPr>
          <w:ilvl w:val="0"/>
          <w:numId w:val="2"/>
        </w:numPr>
        <w:spacing w:after="80" w:line="300"/>
      </w:pPr>
      <w:r>
        <w:rPr>
          <w:sz w:val="22"/>
          <w:szCs w:val="22"/>
        </w:rPr>
        <w:t xml:space="preserve">Una plataforma con costos operativos a perpetuidad por debajo de USD 15 mensuales, lo que la vuelve sostenible incluso a baja escala de adopción.</w:t>
      </w:r>
    </w:p>
    <w:p>
      <w:pPr>
        <w:pStyle w:val="ListParagraph"/>
        <w:numPr>
          <w:ilvl w:val="0"/>
          <w:numId w:val="2"/>
        </w:numPr>
        <w:spacing w:after="80" w:line="300"/>
      </w:pPr>
      <w:r>
        <w:rPr>
          <w:sz w:val="22"/>
          <w:szCs w:val="22"/>
        </w:rPr>
        <w:t xml:space="preserve">Un activo defendible: el catálogo de features point-in-time, el dataset histórico curado y la calibración auditable son barreras de entrada técnicas que un nuevo competidor tardaría meses en replicar.</w:t>
      </w:r>
    </w:p>
    <w:p>
      <w:pPr>
        <w:pStyle w:val="ListParagraph"/>
        <w:numPr>
          <w:ilvl w:val="0"/>
          <w:numId w:val="2"/>
        </w:numPr>
        <w:spacing w:after="80" w:line="300"/>
      </w:pPr>
      <w:r>
        <w:rPr>
          <w:sz w:val="22"/>
          <w:szCs w:val="22"/>
        </w:rPr>
        <w:t xml:space="preserve">Múltiples vectores de monetización: suscripción institucional (consultoras, fondos macro, bancos), API pública con tier gratuito y pago, informes premium semanales, partnerships con prensa especializada.</w:t>
      </w:r>
    </w:p>
    <w:p>
      <w:r>
        <w:br w:type="page"/>
      </w:r>
    </w:p>
    <w:p>
      <w:pPr>
        <w:pStyle w:val="Heading1"/>
        <w:spacing w:after="200" w:before="360"/>
      </w:pPr>
      <w:r>
        <w:rPr>
          <w:b/>
          <w:bCs/>
          <w:color w:val="1F3A5F"/>
          <w:sz w:val="32"/>
          <w:szCs w:val="32"/>
        </w:rPr>
        <w:t xml:space="preserve">El Problema y la Oportunidad</w:t>
      </w:r>
    </w:p>
    <w:p>
      <w:pPr>
        <w:pStyle w:val="Heading2"/>
        <w:spacing w:after="160" w:before="280"/>
      </w:pPr>
      <w:r>
        <w:rPr>
          <w:b/>
          <w:bCs/>
          <w:color w:val="1F3A5F"/>
          <w:sz w:val="26"/>
          <w:szCs w:val="26"/>
        </w:rPr>
        <w:t xml:space="preserve">La opacidad legislativa cuesta dinero</w:t>
      </w:r>
    </w:p>
    <w:p>
      <w:pPr>
        <w:spacing w:after="140" w:line="320"/>
        <w:jc w:val="both"/>
      </w:pPr>
      <w:r>
        <w:rPr>
          <w:sz w:val="22"/>
          <w:szCs w:val="22"/>
        </w:rPr>
        <w:t xml:space="preserve">El Congreso argentino procesa cada año más de cinco mil proyectos de ley. Aproximadamente cien terminan sancionados. La mayor parte de los actores económicos, financieros y políticos que necesitan anticipar cuáles de esos proyectos efectivamente saldrán adelante dependen de información dispersa: contactos personales en cada bloque, lectura individual de cada dictamen, intuición sobre la coyuntura, conversaciones de pasillo.</w:t>
      </w:r>
    </w:p>
    <w:p>
      <w:pPr>
        <w:spacing w:after="140" w:line="320"/>
        <w:jc w:val="both"/>
      </w:pPr>
      <w:r>
        <w:rPr>
          <w:sz w:val="22"/>
          <w:szCs w:val="22"/>
        </w:rPr>
        <w:t xml:space="preserve">Esta información es valiosa cuando se la tiene, pero es asimétrica, costosa de mantener y altamente susceptible a sesgos personales. Una consultora política grande en Buenos Aires gasta cientos de miles de dólares al año en mantener esa red. Un fondo macro internacional que opera Argentina paga analistas locales dedicados. Una empresa con exposición regulatoria asigna lobby permanente. En todos los casos, el resultado es información cualitativa, fragmentaria y no comparable entre proyectos.</w:t>
      </w:r>
    </w:p>
    <w:p>
      <w:pPr>
        <w:spacing w:after="140" w:line="320"/>
        <w:jc w:val="both"/>
      </w:pPr>
      <w:r>
        <w:rPr>
          <w:sz w:val="22"/>
          <w:szCs w:val="22"/>
        </w:rPr>
        <w:t xml:space="preserve">Los intentos previos de cuantificar este proceso han fracasado por tres razones recurrentes: tratan a Argentina como si fuera Estados Unidos (modelos que ignoran la lógica federal, los ATN, las particularidades del DNU), no validan su calibración honestamente (publican predicciones sin reliability diagrams ni Brier score verificable) y construyen sobre fuentes de datos frágiles que terminan rompiéndose cuando el Congreso cambia su sitio web.</w:t>
      </w:r>
    </w:p>
    <w:p>
      <w:pPr>
        <w:pStyle w:val="Heading2"/>
        <w:spacing w:after="160" w:before="280"/>
      </w:pPr>
      <w:r>
        <w:rPr>
          <w:b/>
          <w:bCs/>
          <w:color w:val="1F3A5F"/>
          <w:sz w:val="26"/>
          <w:szCs w:val="26"/>
        </w:rPr>
        <w:t xml:space="preserve">La oportunidad</w:t>
      </w:r>
    </w:p>
    <w:p>
      <w:pPr>
        <w:spacing w:after="140" w:line="320"/>
        <w:jc w:val="both"/>
      </w:pPr>
      <w:r>
        <w:rPr>
          <w:sz w:val="22"/>
          <w:szCs w:val="22"/>
        </w:rPr>
        <w:t xml:space="preserve">La oportunidad real es construir el primer índice probabilístico calibrado sobre legislación argentina que combine rigor estadístico, transparencia metodológica y resiliencia operativa, a un costo de infraestructura que lo vuelve sostenible incluso con una base de usuarios pequeña. La barrera no es técnica: la barrera ha sido históricamente la disciplina para hacerlo bien, no rápido.</w:t>
      </w:r>
    </w:p>
    <w:p>
      <w:r>
        <w:br w:type="page"/>
      </w:r>
    </w:p>
    <w:p>
      <w:pPr>
        <w:pStyle w:val="Heading1"/>
        <w:spacing w:after="200" w:before="360"/>
      </w:pPr>
      <w:r>
        <w:rPr>
          <w:b/>
          <w:bCs/>
          <w:color w:val="1F3A5F"/>
          <w:sz w:val="32"/>
          <w:szCs w:val="32"/>
        </w:rPr>
        <w:t xml:space="preserve">La Solución: el Índice de Probabilidad Legislativa</w:t>
      </w:r>
    </w:p>
    <w:p>
      <w:pPr>
        <w:spacing w:after="140" w:line="320"/>
        <w:jc w:val="both"/>
      </w:pPr>
      <w:r>
        <w:rPr>
          <w:sz w:val="22"/>
          <w:szCs w:val="22"/>
        </w:rPr>
        <w:t xml:space="preserve">La plataforma produce, para cada proyecto en trámite parlamentario, una predicción semanal con tres elementos:</w:t>
      </w:r>
    </w:p>
    <w:p>
      <w:pPr>
        <w:pStyle w:val="ListParagraph"/>
        <w:numPr>
          <w:ilvl w:val="0"/>
          <w:numId w:val="2"/>
        </w:numPr>
        <w:spacing w:after="80" w:line="300"/>
      </w:pPr>
      <w:r>
        <w:rPr>
          <w:sz w:val="22"/>
          <w:szCs w:val="22"/>
        </w:rPr>
        <w:t xml:space="preserve">Una probabilidad puntual de sanción dentro de un horizonte definido.</w:t>
      </w:r>
    </w:p>
    <w:p>
      <w:pPr>
        <w:pStyle w:val="ListParagraph"/>
        <w:numPr>
          <w:ilvl w:val="0"/>
          <w:numId w:val="2"/>
        </w:numPr>
        <w:spacing w:after="80" w:line="300"/>
      </w:pPr>
      <w:r>
        <w:rPr>
          <w:sz w:val="22"/>
          <w:szCs w:val="22"/>
        </w:rPr>
        <w:t xml:space="preserve">Una banda de confianza calibrada empíricamente sobre diez años de predicciones simuladas.</w:t>
      </w:r>
    </w:p>
    <w:p>
      <w:pPr>
        <w:pStyle w:val="ListParagraph"/>
        <w:numPr>
          <w:ilvl w:val="0"/>
          <w:numId w:val="2"/>
        </w:numPr>
        <w:spacing w:after="80" w:line="300"/>
      </w:pPr>
      <w:r>
        <w:rPr>
          <w:sz w:val="22"/>
          <w:szCs w:val="22"/>
        </w:rPr>
        <w:t xml:space="preserve">Una narrativa explicativa que cita las variables específicas que llevaron a esa estimación.</w:t>
      </w:r>
    </w:p>
    <w:p>
      <w:pPr>
        <w:spacing w:after="120"/>
      </w:pPr>
      <w:r>
        <w:t xml:space="preserve"/>
      </w:r>
    </w:p>
    <w:p>
      <w:pPr>
        <w:pStyle w:val="Heading2"/>
        <w:spacing w:after="160" w:before="280"/>
      </w:pPr>
      <w:r>
        <w:rPr>
          <w:b/>
          <w:bCs/>
          <w:color w:val="1F3A5F"/>
          <w:sz w:val="26"/>
          <w:szCs w:val="26"/>
        </w:rPr>
        <w:t xml:space="preserve">Cuatro módulos analíticos</w:t>
      </w:r>
    </w:p>
    <w:p>
      <w:pPr>
        <w:pStyle w:val="Heading3"/>
        <w:spacing w:after="120" w:before="200"/>
      </w:pPr>
      <w:r>
        <w:rPr>
          <w:b/>
          <w:bCs/>
          <w:color w:val="333333"/>
          <w:sz w:val="22"/>
          <w:szCs w:val="22"/>
        </w:rPr>
        <w:t xml:space="preserve">Módulo A: Probabilidad Base (Nowcast)</w:t>
      </w:r>
    </w:p>
    <w:p>
      <w:pPr>
        <w:spacing w:after="140" w:line="320"/>
        <w:jc w:val="both"/>
      </w:pPr>
      <w:r>
        <w:rPr>
          <w:sz w:val="22"/>
          <w:szCs w:val="22"/>
        </w:rPr>
        <w:t xml:space="preserve">Un modelo de ensemble que combina regresión logística regularizada con un modelo de gradient boosting (LightGBM), entrenado sobre datos de proyectos de ley desde 2015. Las variables incluyen la composición de cofirmantes, el track record histórico del autor principal, la afinidad temática con la comisión asignada, la fidelidad partidaria, el contexto económico, y la proximidad al ciclo electoral.</w:t>
      </w:r>
    </w:p>
    <w:p>
      <w:pPr>
        <w:pStyle w:val="Heading3"/>
        <w:spacing w:after="120" w:before="200"/>
      </w:pPr>
      <w:r>
        <w:rPr>
          <w:b/>
          <w:bCs/>
          <w:color w:val="333333"/>
          <w:sz w:val="22"/>
          <w:szCs w:val="22"/>
        </w:rPr>
        <w:t xml:space="preserve">Módulo B: Mapa de Influencia</w:t>
      </w:r>
    </w:p>
    <w:p>
      <w:pPr>
        <w:spacing w:after="140" w:line="320"/>
        <w:jc w:val="both"/>
      </w:pPr>
      <w:r>
        <w:rPr>
          <w:sz w:val="22"/>
          <w:szCs w:val="22"/>
        </w:rPr>
        <w:t xml:space="preserve">Un análisis de redes sobre el grafo de cofirmas legislativas, donde cada legislador es un nodo y cada cofirma es una arista. Aplicando el algoritmo PageRank, junto con métricas de brokerage de Burt para identificar puentes estructurales, el módulo identifica a los legisladores que efectivamente traccionan votos transversales: los nodos que conectan bloques, no necesariamente los que dirigen sus propios bloques.</w:t>
      </w:r>
    </w:p>
    <w:p>
      <w:pPr>
        <w:pStyle w:val="Heading3"/>
        <w:spacing w:after="120" w:before="200"/>
      </w:pPr>
      <w:r>
        <w:rPr>
          <w:b/>
          <w:bCs/>
          <w:color w:val="333333"/>
          <w:sz w:val="22"/>
          <w:szCs w:val="22"/>
        </w:rPr>
        <w:t xml:space="preserve">Módulo C: Espectro Ideológico Real</w:t>
      </w:r>
    </w:p>
    <w:p>
      <w:pPr>
        <w:spacing w:after="140" w:line="320"/>
        <w:jc w:val="both"/>
      </w:pPr>
      <w:r>
        <w:rPr>
          <w:sz w:val="22"/>
          <w:szCs w:val="22"/>
        </w:rPr>
        <w:t xml:space="preserve">En lugar de clasificar a los legisladores por su bloque formal, este módulo agrupa votantes mediante reducción de dimensionalidad (UMAP) y clustering (HDBSCAN) sobre la matriz histórica de votos nominales. El resultado expone alianzas informales, votos fugitivos y reposicionamientos antes de que el bloque formal los reconozca.</w:t>
      </w:r>
    </w:p>
    <w:p>
      <w:pPr>
        <w:pStyle w:val="Heading3"/>
        <w:spacing w:after="120" w:before="200"/>
      </w:pPr>
      <w:r>
        <w:rPr>
          <w:b/>
          <w:bCs/>
          <w:color w:val="333333"/>
          <w:sz w:val="22"/>
          <w:szCs w:val="22"/>
        </w:rPr>
        <w:t xml:space="preserve">Módulo D: Volatilidad Política (Factor μ)</w:t>
      </w:r>
    </w:p>
    <w:p>
      <w:pPr>
        <w:spacing w:after="140" w:line="320"/>
        <w:jc w:val="both"/>
      </w:pPr>
      <w:r>
        <w:rPr>
          <w:sz w:val="22"/>
          <w:szCs w:val="22"/>
        </w:rPr>
        <w:t xml:space="preserve">El componente más distintivo de la plataforma. En lugar de prometer certezas que el sistema no puede entregar, el modelo publica una banda de confianza calibrada empíricamente sobre el error histórico real de sus propias predicciones simuladas. Si el modelo predice 75 por ciento de probabilidad de sanción con una banda de más-menos diez puntos, esa banda está respaldada por conformal prediction sobre diez años de walk-forward validation, no por una heurística inventada.</w:t>
      </w:r>
    </w:p>
    <w:p>
      <w:r>
        <w:br w:type="page"/>
      </w:r>
    </w:p>
    <w:p>
      <w:pPr>
        <w:pStyle w:val="Heading1"/>
        <w:spacing w:after="200" w:before="360"/>
      </w:pPr>
      <w:r>
        <w:rPr>
          <w:b/>
          <w:bCs/>
          <w:color w:val="1F3A5F"/>
          <w:sz w:val="32"/>
          <w:szCs w:val="32"/>
        </w:rPr>
        <w:t xml:space="preserve">Por qué este índice es diferente</w:t>
      </w:r>
    </w:p>
    <w:p>
      <w:pPr>
        <w:pStyle w:val="Heading2"/>
        <w:spacing w:after="160" w:before="280"/>
      </w:pPr>
      <w:r>
        <w:rPr>
          <w:b/>
          <w:bCs/>
          <w:color w:val="1F3A5F"/>
          <w:sz w:val="26"/>
          <w:szCs w:val="26"/>
        </w:rPr>
        <w:t xml:space="preserve">Calibración honesta, no teatro estadístico</w:t>
      </w:r>
    </w:p>
    <w:p>
      <w:pPr>
        <w:spacing w:after="140" w:line="320"/>
        <w:jc w:val="both"/>
      </w:pPr>
      <w:r>
        <w:rPr>
          <w:sz w:val="22"/>
          <w:szCs w:val="22"/>
        </w:rPr>
        <w:t xml:space="preserve">La mayor parte de los sistemas predictivos cuantitativos publican intervalos de confianza que no han sido validados contra datos reales. Suelen calcularse como una varianza retroactiva sobre datos que el modelo ya conocía durante el entrenamiento, lo cual produce intervalos artificialmente estrechos. Esta plataforma elimina esa práctica desde el diseño:</w:t>
      </w:r>
    </w:p>
    <w:p>
      <w:pPr>
        <w:pStyle w:val="ListParagraph"/>
        <w:numPr>
          <w:ilvl w:val="0"/>
          <w:numId w:val="2"/>
        </w:numPr>
        <w:spacing w:after="80" w:line="300"/>
      </w:pPr>
      <w:r>
        <w:rPr>
          <w:sz w:val="22"/>
          <w:szCs w:val="22"/>
        </w:rPr>
        <w:t xml:space="preserve">La calibración se realiza exclusivamente sobre residuals de predicciones simuladas en walk-forward, donde el modelo en el tiempo t no tiene acceso a ningún dato posterior a t.</w:t>
      </w:r>
    </w:p>
    <w:p>
      <w:pPr>
        <w:pStyle w:val="ListParagraph"/>
        <w:numPr>
          <w:ilvl w:val="0"/>
          <w:numId w:val="2"/>
        </w:numPr>
        <w:spacing w:after="80" w:line="300"/>
      </w:pPr>
      <w:r>
        <w:rPr>
          <w:sz w:val="22"/>
          <w:szCs w:val="22"/>
        </w:rPr>
        <w:t xml:space="preserve">El método de calibración utiliza conformal prediction, una técnica matemática que garantiza, bajo supuestos mínimos, que la cobertura empírica de las bandas coincide con su nivel nominal.</w:t>
      </w:r>
    </w:p>
    <w:p>
      <w:pPr>
        <w:pStyle w:val="ListParagraph"/>
        <w:numPr>
          <w:ilvl w:val="0"/>
          <w:numId w:val="2"/>
        </w:numPr>
        <w:spacing w:after="80" w:line="300"/>
      </w:pPr>
      <w:r>
        <w:rPr>
          <w:sz w:val="22"/>
          <w:szCs w:val="22"/>
        </w:rPr>
        <w:t xml:space="preserve">El reliability diagram histórico y la métrica Brier score son publicados y actualizados mensualmente como parte del compromiso de transparencia.</w:t>
      </w:r>
    </w:p>
    <w:p>
      <w:pPr>
        <w:pStyle w:val="Heading2"/>
        <w:spacing w:after="160" w:before="280"/>
      </w:pPr>
      <w:r>
        <w:rPr>
          <w:b/>
          <w:bCs/>
          <w:color w:val="1F3A5F"/>
          <w:sz w:val="26"/>
          <w:szCs w:val="26"/>
        </w:rPr>
        <w:t xml:space="preserve">Filtro legal separado del modelo estadístico</w:t>
      </w:r>
    </w:p>
    <w:p>
      <w:pPr>
        <w:spacing w:after="140" w:line="320"/>
        <w:jc w:val="both"/>
      </w:pPr>
      <w:r>
        <w:rPr>
          <w:sz w:val="22"/>
          <w:szCs w:val="22"/>
        </w:rPr>
        <w:t xml:space="preserve">Existen restricciones legales explícitas sobre qué proyectos pueden ser sancionados en qué momento. La más conocida es la prohibición de modificar reglas electorales dentro de los veinticuatro meses previos a una elección, doctrina consolidada por la Cámara Nacional Electoral. La plataforma trata estas restricciones como derecho positivo, no como regularidades estadísticas: un filtro previo al modelo verifica eligibilidad legal con citas normativas explícitas, y solo los proyectos legalmente elegibles pasan al modelo predictivo. Esta separación, además de ser metodológicamente correcta, hace al sistema robusto frente a cambios en la jurisprudencia.</w:t>
      </w:r>
    </w:p>
    <w:p>
      <w:pPr>
        <w:pStyle w:val="Heading2"/>
        <w:spacing w:after="160" w:before="280"/>
      </w:pPr>
      <w:r>
        <w:rPr>
          <w:b/>
          <w:bCs/>
          <w:color w:val="1F3A5F"/>
          <w:sz w:val="26"/>
          <w:szCs w:val="26"/>
        </w:rPr>
        <w:t xml:space="preserve">Resiliencia industrial frente a fuentes upstream</w:t>
      </w:r>
    </w:p>
    <w:p>
      <w:pPr>
        <w:spacing w:after="140" w:line="320"/>
        <w:jc w:val="both"/>
      </w:pPr>
      <w:r>
        <w:rPr>
          <w:sz w:val="22"/>
          <w:szCs w:val="22"/>
        </w:rPr>
        <w:t xml:space="preserve">Las plataformas de datos sobre el Estado argentino fracasan típicamente porque las fuentes oficiales cambian estructura sin previo aviso, los nombres de legisladores aparecen escritos de cuatro maneras distintas entre sistemas, y los dictámenes llegan como PDFs escaneados de calidad heterogénea. El sistema implementa un patrón de adapter independiente por fuente, validación estricta de schema con Pydantic, retry con backoff exponencial, circuit breakers que aíslan fallas, un resolver canónico de identidades de legisladores con cola de disambiguación manual semiasistida, y caché persistente que evita reprocesar lo que ya fue procesado. La caída de una fuente nunca tira al sistema completo.</w:t>
      </w:r>
    </w:p>
    <w:p>
      <w:pPr>
        <w:pStyle w:val="Heading2"/>
        <w:spacing w:after="160" w:before="280"/>
      </w:pPr>
      <w:r>
        <w:rPr>
          <w:b/>
          <w:bCs/>
          <w:color w:val="1F3A5F"/>
          <w:sz w:val="26"/>
          <w:szCs w:val="26"/>
        </w:rPr>
        <w:t xml:space="preserve">Validación histórica antes del lanzamiento</w:t>
      </w:r>
    </w:p>
    <w:p>
      <w:pPr>
        <w:spacing w:after="140" w:line="320"/>
        <w:jc w:val="both"/>
      </w:pPr>
      <w:r>
        <w:rPr>
          <w:sz w:val="22"/>
          <w:szCs w:val="22"/>
        </w:rPr>
        <w:t xml:space="preserve">Antes de producir una sola predicción pública, la plataforma genera más de diez mil predicciones simuladas mediante walk-forward validation sobre el período 2015-2026, cubriendo cuatro regímenes políticos diferentes. Esto entrega tres beneficios concretos al usuario y al inversor: una calibración basada en evidencia real, no en suposiciones; un catálogo documentado de modos de fallo conocidos del modelo con sus contramedidas asignadas; y una metodología auditable con métricas históricas que puede ser publicada como prueba de credibilidad antes de la primera predicción en vivo.</w:t>
      </w:r>
    </w:p>
    <w:p>
      <w:r>
        <w:br w:type="page"/>
      </w:r>
    </w:p>
    <w:p>
      <w:pPr>
        <w:pStyle w:val="Heading1"/>
        <w:spacing w:after="200" w:before="360"/>
      </w:pPr>
      <w:r>
        <w:rPr>
          <w:b/>
          <w:bCs/>
          <w:color w:val="1F3A5F"/>
          <w:sz w:val="32"/>
          <w:szCs w:val="32"/>
        </w:rPr>
        <w:t xml:space="preserve">Arquitectura del Sistema</w:t>
      </w:r>
    </w:p>
    <w:p>
      <w:pPr>
        <w:spacing w:after="140" w:line="320"/>
        <w:jc w:val="both"/>
      </w:pPr>
      <w:r>
        <w:rPr>
          <w:sz w:val="22"/>
          <w:szCs w:val="22"/>
        </w:rPr>
        <w:t xml:space="preserve">La plataforma está construida como cinco servicios independientes que se comunican mediante una base de datos compartida (PostgreSQL). Cada servicio puede fallar de manera aislada sin tirar al resto, y todos son reanudables después de cualquier reinicio.</w:t>
      </w:r>
    </w:p>
    <w:p>
      <w:pPr>
        <w:pStyle w:val="Heading3"/>
        <w:spacing w:after="120" w:before="200"/>
      </w:pPr>
      <w:r>
        <w:rPr>
          <w:b/>
          <w:bCs/>
          <w:color w:val="333333"/>
          <w:sz w:val="22"/>
          <w:szCs w:val="22"/>
        </w:rPr>
        <w:t xml:space="preserve">Servicio 1: Ingestor</w:t>
      </w:r>
    </w:p>
    <w:p>
      <w:pPr>
        <w:spacing w:after="140" w:line="320"/>
        <w:jc w:val="both"/>
      </w:pPr>
      <w:r>
        <w:rPr>
          <w:sz w:val="22"/>
          <w:szCs w:val="22"/>
        </w:rPr>
        <w:t xml:space="preserve">Captura datos de seis fuentes oficiales (Cámara de Diputados, Senado, Boletín Oficial, Universidad Di Tella, Tesoro Nacional, prensa especializada) mediante adapters independientes. Cada uno con su propio retry, validación de schema y circuit breaker. La integridad de los datos se verifica continuamente contra fuentes secundarias.</w:t>
      </w:r>
    </w:p>
    <w:p>
      <w:pPr>
        <w:pStyle w:val="Heading3"/>
        <w:spacing w:after="120" w:before="200"/>
      </w:pPr>
      <w:r>
        <w:rPr>
          <w:b/>
          <w:bCs/>
          <w:color w:val="333333"/>
          <w:sz w:val="22"/>
          <w:szCs w:val="22"/>
        </w:rPr>
        <w:t xml:space="preserve">Servicio 2: Motor de Features</w:t>
      </w:r>
    </w:p>
    <w:p>
      <w:pPr>
        <w:spacing w:after="140" w:line="320"/>
        <w:jc w:val="both"/>
      </w:pPr>
      <w:r>
        <w:rPr>
          <w:sz w:val="22"/>
          <w:szCs w:val="22"/>
        </w:rPr>
        <w:t xml:space="preserve">El núcleo analítico de la plataforma. Computa veinticinco variables predictivas a partir de los datos ingeridos: indicadores económicos, métricas de red, similitudes temáticas, indicadores de salience mediática, scores de polarización. Cada función es testeable independientemente y cada feature versionada para reproducibilidad.</w:t>
      </w:r>
    </w:p>
    <w:p>
      <w:pPr>
        <w:pStyle w:val="Heading3"/>
        <w:spacing w:after="120" w:before="200"/>
      </w:pPr>
      <w:r>
        <w:rPr>
          <w:b/>
          <w:bCs/>
          <w:color w:val="333333"/>
          <w:sz w:val="22"/>
          <w:szCs w:val="22"/>
        </w:rPr>
        <w:t xml:space="preserve">Servicio 3: Predictor</w:t>
      </w:r>
    </w:p>
    <w:p>
      <w:pPr>
        <w:spacing w:after="140" w:line="320"/>
        <w:jc w:val="both"/>
      </w:pPr>
      <w:r>
        <w:rPr>
          <w:sz w:val="22"/>
          <w:szCs w:val="22"/>
        </w:rPr>
        <w:t xml:space="preserve">Ejecuta el ensemble de modelos (regresión logística más LightGBM), aplica calibración Beta, genera bandas de confianza por bootstrap y conformal prediction, y persiste cada predicción con su hash de features y versión de modelo. Si los dos modelos del ensemble disienten en más de treinta puntos de probabilidad, la predicción se marca como de baja confianza.</w:t>
      </w:r>
    </w:p>
    <w:p>
      <w:pPr>
        <w:pStyle w:val="Heading3"/>
        <w:spacing w:after="120" w:before="200"/>
      </w:pPr>
      <w:r>
        <w:rPr>
          <w:b/>
          <w:bCs/>
          <w:color w:val="333333"/>
          <w:sz w:val="22"/>
          <w:szCs w:val="22"/>
        </w:rPr>
        <w:t xml:space="preserve">Servicio 4: Context Engine</w:t>
      </w:r>
    </w:p>
    <w:p>
      <w:pPr>
        <w:spacing w:after="140" w:line="320"/>
        <w:jc w:val="both"/>
      </w:pPr>
      <w:r>
        <w:rPr>
          <w:sz w:val="22"/>
          <w:szCs w:val="22"/>
        </w:rPr>
        <w:t xml:space="preserve">Esta capa cualitativa procesa diariamente noticias y declaraciones políticas mediante un modelo de lenguaje local (Hermes vía Ollama) que las resume en eventos estructurados. Una vez por semana, Claude Sonnet sintetiza los eventos de los últimos siete días en scores de cambio contextual por temática que retroalimentan al modelo. Esta es la capa que captura el contexto que un modelo puramente estadístico no puede ver.</w:t>
      </w:r>
    </w:p>
    <w:p>
      <w:pPr>
        <w:pStyle w:val="Heading3"/>
        <w:spacing w:after="120" w:before="200"/>
      </w:pPr>
      <w:r>
        <w:rPr>
          <w:b/>
          <w:bCs/>
          <w:color w:val="333333"/>
          <w:sz w:val="22"/>
          <w:szCs w:val="22"/>
        </w:rPr>
        <w:t xml:space="preserve">Servicio 5: Narrator</w:t>
      </w:r>
    </w:p>
    <w:p>
      <w:pPr>
        <w:spacing w:after="140" w:line="320"/>
        <w:jc w:val="both"/>
      </w:pPr>
      <w:r>
        <w:rPr>
          <w:sz w:val="22"/>
          <w:szCs w:val="22"/>
        </w:rPr>
        <w:t xml:space="preserve">Genera el reporte semanal en lenguaje natural mediante Claude Sonnet con cache de prompts. El reporte cita explícitamente cada feature numérica que respalda cada afirmación cuantitativa, y todas las predicciones quedan auditables contra su valor subyacente.</w:t>
      </w:r>
    </w:p>
    <w:p>
      <w:pPr>
        <w:spacing w:after="120"/>
      </w:pPr>
      <w:r>
        <w:t xml:space="preserve"/>
      </w:r>
    </w:p>
    <w:p>
      <w:pPr>
        <w:pStyle w:val="Heading2"/>
        <w:spacing w:after="160" w:before="280"/>
      </w:pPr>
      <w:r>
        <w:rPr>
          <w:b/>
          <w:bCs/>
          <w:color w:val="1F3A5F"/>
          <w:sz w:val="26"/>
          <w:szCs w:val="26"/>
        </w:rPr>
        <w:t xml:space="preserve">Infraestructura</w:t>
      </w:r>
    </w:p>
    <w:p>
      <w:pPr>
        <w:spacing w:after="140" w:line="320"/>
        <w:jc w:val="both"/>
      </w:pPr>
      <w:r>
        <w:rPr>
          <w:sz w:val="22"/>
          <w:szCs w:val="22"/>
        </w:rPr>
        <w:t xml:space="preserve">El sistema corre sobre Oracle Cloud capa Always Free (instancia ARM Ampere de cuatro núcleos y 24 GB de RAM), con backup automático diario a Backblaze B2 y un standby caliente opcional en Hetzner por menos de cinco dólares mensuales. Tres capas de redundancia (heartbeat para evitar reclamación, backup offsite, monitoreo externo independiente) garantizan disponibilidad operativa por debajo de costos de infraestructura tradicional.</w:t>
      </w:r>
    </w:p>
    <w:p>
      <w:r>
        <w:br w:type="page"/>
      </w:r>
    </w:p>
    <w:p>
      <w:pPr>
        <w:pStyle w:val="Heading1"/>
        <w:spacing w:after="200" w:before="360"/>
      </w:pPr>
      <w:r>
        <w:rPr>
          <w:b/>
          <w:bCs/>
          <w:color w:val="1F3A5F"/>
          <w:sz w:val="32"/>
          <w:szCs w:val="32"/>
        </w:rPr>
        <w:t xml:space="preserve">Fase de Validación Histórica</w:t>
      </w:r>
    </w:p>
    <w:p>
      <w:pPr>
        <w:spacing w:after="140" w:line="320"/>
        <w:jc w:val="both"/>
      </w:pPr>
      <w:r>
        <w:rPr>
          <w:sz w:val="22"/>
          <w:szCs w:val="22"/>
        </w:rPr>
        <w:t xml:space="preserve">Antes del lanzamiento público, la plataforma dedica cuatro semanas exclusivamente a una validación histórica que es a la vez un requisito metodológico y un activo de credibilidad para el inversor.</w:t>
      </w:r>
    </w:p>
    <w:p>
      <w:pPr>
        <w:pStyle w:val="Heading2"/>
        <w:spacing w:after="160" w:before="280"/>
      </w:pPr>
      <w:r>
        <w:rPr>
          <w:b/>
          <w:bCs/>
          <w:color w:val="1F3A5F"/>
          <w:sz w:val="26"/>
          <w:szCs w:val="26"/>
        </w:rPr>
        <w:t xml:space="preserve">Qué se hace en esta fase</w:t>
      </w:r>
    </w:p>
    <w:p>
      <w:pPr>
        <w:pStyle w:val="ListParagraph"/>
        <w:numPr>
          <w:ilvl w:val="0"/>
          <w:numId w:val="2"/>
        </w:numPr>
        <w:spacing w:after="80" w:line="300"/>
      </w:pPr>
      <w:r>
        <w:rPr>
          <w:sz w:val="22"/>
          <w:szCs w:val="22"/>
        </w:rPr>
        <w:t xml:space="preserve">Backfill estructurado de todos los proyectos de ley presentados entre 2015 y 2026, con verificación cruzada contra fuentes secundarias para garantizar cobertura mayor al noventa por ciento.</w:t>
      </w:r>
    </w:p>
    <w:p>
      <w:pPr>
        <w:pStyle w:val="ListParagraph"/>
        <w:numPr>
          <w:ilvl w:val="0"/>
          <w:numId w:val="2"/>
        </w:numPr>
        <w:spacing w:after="80" w:line="300"/>
      </w:pPr>
      <w:r>
        <w:rPr>
          <w:sz w:val="22"/>
          <w:szCs w:val="22"/>
        </w:rPr>
        <w:t xml:space="preserve">Reconstrucción punto-en-el-tiempo de las variables predictivas: para cada proyecto histórico, se reconstruye qué información estaba efectivamente disponible el día del dictamen, evitando cualquier filtración de información futura.</w:t>
      </w:r>
    </w:p>
    <w:p>
      <w:pPr>
        <w:pStyle w:val="ListParagraph"/>
        <w:numPr>
          <w:ilvl w:val="0"/>
          <w:numId w:val="2"/>
        </w:numPr>
        <w:spacing w:after="80" w:line="300"/>
      </w:pPr>
      <w:r>
        <w:rPr>
          <w:sz w:val="22"/>
          <w:szCs w:val="22"/>
        </w:rPr>
        <w:t xml:space="preserve">Walk-forward validation: simulación mes a mes desde 2017, reentrenando el modelo con datos disponibles solo hasta ese punto y registrando predicciones simuladas para cada proyecto activo. El resultado son entre diez mil y quince mil predicciones simuladas con outcome real conocido.</w:t>
      </w:r>
    </w:p>
    <w:p>
      <w:pPr>
        <w:pStyle w:val="ListParagraph"/>
        <w:numPr>
          <w:ilvl w:val="0"/>
          <w:numId w:val="2"/>
        </w:numPr>
        <w:spacing w:after="80" w:line="300"/>
      </w:pPr>
      <w:r>
        <w:rPr>
          <w:sz w:val="22"/>
          <w:szCs w:val="22"/>
        </w:rPr>
        <w:t xml:space="preserve">Catalogación sistemática de modos de fallo: análisis cualitativo de los errores más grandes del modelo, agrupándolos en categorías nombradas con contramedidas asignadas a fases posteriores.</w:t>
      </w:r>
    </w:p>
    <w:p>
      <w:pPr>
        <w:pStyle w:val="ListParagraph"/>
        <w:numPr>
          <w:ilvl w:val="0"/>
          <w:numId w:val="2"/>
        </w:numPr>
        <w:spacing w:after="80" w:line="300"/>
      </w:pPr>
      <w:r>
        <w:rPr>
          <w:sz w:val="22"/>
          <w:szCs w:val="22"/>
        </w:rPr>
        <w:t xml:space="preserve">Calibración honesta del Factor μ mediante bootstrap sobre residuals reales del walk-forward, no sobre datos imputados retroactivamente.</w:t>
      </w:r>
    </w:p>
    <w:p>
      <w:pPr>
        <w:pStyle w:val="Heading2"/>
        <w:spacing w:after="160" w:before="280"/>
      </w:pPr>
      <w:r>
        <w:rPr>
          <w:b/>
          <w:bCs/>
          <w:color w:val="1F3A5F"/>
          <w:sz w:val="26"/>
          <w:szCs w:val="26"/>
        </w:rPr>
        <w:t xml:space="preserve">Métricas que deben cumplirse para avanzar al lanzamiento</w:t>
      </w:r>
    </w:p>
    <w:p>
      <w:pPr>
        <w:pStyle w:val="ListParagraph"/>
        <w:numPr>
          <w:ilvl w:val="0"/>
          <w:numId w:val="2"/>
        </w:numPr>
        <w:spacing w:after="80" w:line="300"/>
      </w:pPr>
      <w:r>
        <w:rPr>
          <w:sz w:val="22"/>
          <w:szCs w:val="22"/>
        </w:rPr>
        <w:t xml:space="preserve">Brier score del walk-forward debe superar a los baselines comparativos en al menos sesenta por ciento de los meses simulados.</w:t>
      </w:r>
    </w:p>
    <w:p>
      <w:pPr>
        <w:pStyle w:val="ListParagraph"/>
        <w:numPr>
          <w:ilvl w:val="0"/>
          <w:numId w:val="2"/>
        </w:numPr>
        <w:spacing w:after="80" w:line="300"/>
      </w:pPr>
      <w:r>
        <w:rPr>
          <w:sz w:val="22"/>
          <w:szCs w:val="22"/>
        </w:rPr>
        <w:t xml:space="preserve">Error de calibración esperado (ECE) debe ser inferior a 0.05.</w:t>
      </w:r>
    </w:p>
    <w:p>
      <w:pPr>
        <w:pStyle w:val="ListParagraph"/>
        <w:numPr>
          <w:ilvl w:val="0"/>
          <w:numId w:val="2"/>
        </w:numPr>
        <w:spacing w:after="80" w:line="300"/>
      </w:pPr>
      <w:r>
        <w:rPr>
          <w:sz w:val="22"/>
          <w:szCs w:val="22"/>
        </w:rPr>
        <w:t xml:space="preserve">La cobertura empírica de las bandas de confianza al noventa por ciento debe estar entre ochenta y siete y noventa y tres por ciento.</w:t>
      </w:r>
    </w:p>
    <w:p>
      <w:pPr>
        <w:pStyle w:val="ListParagraph"/>
        <w:numPr>
          <w:ilvl w:val="0"/>
          <w:numId w:val="2"/>
        </w:numPr>
        <w:spacing w:after="80" w:line="300"/>
      </w:pPr>
      <w:r>
        <w:rPr>
          <w:sz w:val="22"/>
          <w:szCs w:val="22"/>
        </w:rPr>
        <w:t xml:space="preserve">Al menos cinco modos de fallo deben estar documentados con sus contramedidas asignadas.</w:t>
      </w:r>
    </w:p>
    <w:p>
      <w:pPr>
        <w:pStyle w:val="ListParagraph"/>
        <w:numPr>
          <w:ilvl w:val="0"/>
          <w:numId w:val="2"/>
        </w:numPr>
        <w:spacing w:after="80" w:line="300"/>
      </w:pPr>
      <w:r>
        <w:rPr>
          <w:sz w:val="22"/>
          <w:szCs w:val="22"/>
        </w:rPr>
        <w:t xml:space="preserve">El gap de performance entre el régimen político mejor y peor cubierto debe ser inferior a 0.10 de Brier score.</w:t>
      </w:r>
    </w:p>
    <w:p>
      <w:pPr>
        <w:pStyle w:val="ListParagraph"/>
        <w:numPr>
          <w:ilvl w:val="0"/>
          <w:numId w:val="2"/>
        </w:numPr>
        <w:spacing w:after="80" w:line="300"/>
      </w:pPr>
      <w:r>
        <w:rPr>
          <w:sz w:val="22"/>
          <w:szCs w:val="22"/>
        </w:rPr>
        <w:t xml:space="preserve">Cero leakage retrospectivo, verificado por test automatizado.</w:t>
      </w:r>
    </w:p>
    <w:p>
      <w:pPr>
        <w:spacing w:after="140" w:line="320"/>
        <w:jc w:val="both"/>
      </w:pPr>
      <w:r>
        <w:rPr>
          <w:sz w:val="22"/>
          <w:szCs w:val="22"/>
        </w:rPr>
        <w:t xml:space="preserve">Si cualquiera de estos criterios falla, el lanzamiento se posterga. Es preferible retrasar un mes que lanzar con calibración inválida.</w:t>
      </w:r>
    </w:p>
    <w:p>
      <w:pPr>
        <w:pStyle w:val="Heading2"/>
        <w:spacing w:after="160" w:before="280"/>
      </w:pPr>
      <w:r>
        <w:rPr>
          <w:b/>
          <w:bCs/>
          <w:color w:val="1F3A5F"/>
          <w:sz w:val="26"/>
          <w:szCs w:val="26"/>
        </w:rPr>
        <w:t xml:space="preserve">Por qué importa al inversor</w:t>
      </w:r>
    </w:p>
    <w:p>
      <w:pPr>
        <w:spacing w:after="140" w:line="320"/>
        <w:jc w:val="both"/>
      </w:pPr>
      <w:r>
        <w:rPr>
          <w:sz w:val="22"/>
          <w:szCs w:val="22"/>
        </w:rPr>
        <w:t xml:space="preserve">La fase de backtesting es lo que permite responder con honestidad la pregunta más difícil que un inversor escéptico puede hacer: cómo se sabe que esto funciona. La respuesta no es ni una promesa ni una opinión: es un dataset de diez mil predicciones simuladas, cada una con su outcome real verificable, con métricas de calibración publicables, sobre cuatro regímenes políticos distintos. Esa evidencia es lo que diferencia un producto creíble de una caja negra.</w:t>
      </w:r>
    </w:p>
    <w:p>
      <w:r>
        <w:br w:type="page"/>
      </w:r>
    </w:p>
    <w:p>
      <w:pPr>
        <w:pStyle w:val="Heading1"/>
        <w:spacing w:after="200" w:before="360"/>
      </w:pPr>
      <w:r>
        <w:rPr>
          <w:b/>
          <w:bCs/>
          <w:color w:val="1F3A5F"/>
          <w:sz w:val="32"/>
          <w:szCs w:val="32"/>
        </w:rPr>
        <w:t xml:space="preserve">Compromisos de Transparencia</w:t>
      </w:r>
    </w:p>
    <w:p>
      <w:pPr>
        <w:spacing w:after="140" w:line="320"/>
        <w:jc w:val="both"/>
      </w:pPr>
      <w:r>
        <w:rPr>
          <w:sz w:val="22"/>
          <w:szCs w:val="22"/>
        </w:rPr>
        <w:t xml:space="preserve">La credibilidad de un sistema predictivo no se construye con marketing sino con auditabilidad. La plataforma se compromete con cinco prácticas concretas:</w:t>
      </w:r>
    </w:p>
    <w:p>
      <w:pPr>
        <w:pStyle w:val="Heading3"/>
        <w:spacing w:after="120" w:before="200"/>
      </w:pPr>
      <w:r>
        <w:rPr>
          <w:b/>
          <w:bCs/>
          <w:color w:val="333333"/>
          <w:sz w:val="22"/>
          <w:szCs w:val="22"/>
        </w:rPr>
        <w:t xml:space="preserve">Methodology page pública</w:t>
      </w:r>
    </w:p>
    <w:p>
      <w:pPr>
        <w:spacing w:after="140" w:line="320"/>
        <w:jc w:val="both"/>
      </w:pPr>
      <w:r>
        <w:rPr>
          <w:sz w:val="22"/>
          <w:szCs w:val="22"/>
        </w:rPr>
        <w:t xml:space="preserve">Documentación completa de las variables utilizadas, los modelos, los datos de entrenamiento, las métricas históricas en holdout, las limitaciones conocidas y el catálogo de modos de fallo. Cualquier usuario o periodista podrá auditar el método.</w:t>
      </w:r>
    </w:p>
    <w:p>
      <w:pPr>
        <w:pStyle w:val="Heading3"/>
        <w:spacing w:after="120" w:before="200"/>
      </w:pPr>
      <w:r>
        <w:rPr>
          <w:b/>
          <w:bCs/>
          <w:color w:val="333333"/>
          <w:sz w:val="22"/>
          <w:szCs w:val="22"/>
        </w:rPr>
        <w:t xml:space="preserve">Predicciones pre-registradas</w:t>
      </w:r>
    </w:p>
    <w:p>
      <w:pPr>
        <w:spacing w:after="140" w:line="320"/>
        <w:jc w:val="both"/>
      </w:pPr>
      <w:r>
        <w:rPr>
          <w:sz w:val="22"/>
          <w:szCs w:val="22"/>
        </w:rPr>
        <w:t xml:space="preserve">Para los proyectos clave en agenda, la predicción se publica antes de que el Congreso vote, no después. Esto convierte cada votación en un test público del modelo, y es la única forma honesta de demostrar calibración en el tiempo.</w:t>
      </w:r>
    </w:p>
    <w:p>
      <w:pPr>
        <w:pStyle w:val="Heading3"/>
        <w:spacing w:after="120" w:before="200"/>
      </w:pPr>
      <w:r>
        <w:rPr>
          <w:b/>
          <w:bCs/>
          <w:color w:val="333333"/>
          <w:sz w:val="22"/>
          <w:szCs w:val="22"/>
        </w:rPr>
        <w:t xml:space="preserve">Errata log público</w:t>
      </w:r>
    </w:p>
    <w:p>
      <w:pPr>
        <w:spacing w:after="140" w:line="320"/>
        <w:jc w:val="both"/>
      </w:pPr>
      <w:r>
        <w:rPr>
          <w:sz w:val="22"/>
          <w:szCs w:val="22"/>
        </w:rPr>
        <w:t xml:space="preserve">Cuando una predicción importante falla, el equipo publica un post-mortem analizando por qué el modelo se equivocó, qué feature falló y qué contramedida se incorporó. Los modos de fallo no se esconden: se documentan.</w:t>
      </w:r>
    </w:p>
    <w:p>
      <w:pPr>
        <w:pStyle w:val="Heading3"/>
        <w:spacing w:after="120" w:before="200"/>
      </w:pPr>
      <w:r>
        <w:rPr>
          <w:b/>
          <w:bCs/>
          <w:color w:val="333333"/>
          <w:sz w:val="22"/>
          <w:szCs w:val="22"/>
        </w:rPr>
        <w:t xml:space="preserve">Open data</w:t>
      </w:r>
    </w:p>
    <w:p>
      <w:pPr>
        <w:spacing w:after="140" w:line="320"/>
        <w:jc w:val="both"/>
      </w:pPr>
      <w:r>
        <w:rPr>
          <w:sz w:val="22"/>
          <w:szCs w:val="22"/>
        </w:rPr>
        <w:t xml:space="preserve">Las predicciones históricas y las métricas de performance se publican en formato descargable, permitiendo auditoría académica e independiente del modelo.</w:t>
      </w:r>
    </w:p>
    <w:p>
      <w:pPr>
        <w:pStyle w:val="Heading3"/>
        <w:spacing w:after="120" w:before="200"/>
      </w:pPr>
      <w:r>
        <w:rPr>
          <w:b/>
          <w:bCs/>
          <w:color w:val="333333"/>
          <w:sz w:val="22"/>
          <w:szCs w:val="22"/>
        </w:rPr>
        <w:t xml:space="preserve">Reliability diagram actualizado</w:t>
      </w:r>
    </w:p>
    <w:p>
      <w:pPr>
        <w:spacing w:after="140" w:line="320"/>
        <w:jc w:val="both"/>
      </w:pPr>
      <w:r>
        <w:rPr>
          <w:sz w:val="22"/>
          <w:szCs w:val="22"/>
        </w:rPr>
        <w:t xml:space="preserve">El gráfico de probabilidad predicha contra frecuencia empírica de sanción se publica y actualiza mensualmente. Si el modelo decae en performance, los usuarios lo verán antes que el equipo lo anuncie.</w:t>
      </w:r>
    </w:p>
    <w:p>
      <w:r>
        <w:br w:type="page"/>
      </w:r>
    </w:p>
    <w:p>
      <w:pPr>
        <w:pStyle w:val="Heading1"/>
        <w:spacing w:after="200" w:before="360"/>
      </w:pPr>
      <w:r>
        <w:rPr>
          <w:b/>
          <w:bCs/>
          <w:color w:val="1F3A5F"/>
          <w:sz w:val="32"/>
          <w:szCs w:val="32"/>
        </w:rPr>
        <w:t xml:space="preserve">Plan de Desarrollo y Lanzamiento</w:t>
      </w:r>
    </w:p>
    <w:p>
      <w:pPr>
        <w:spacing w:after="140" w:line="320"/>
        <w:jc w:val="both"/>
      </w:pPr>
      <w:r>
        <w:rPr>
          <w:sz w:val="22"/>
          <w:szCs w:val="22"/>
        </w:rPr>
        <w:t xml:space="preserve">El desarrollo se organiza en siete fases secuenciales, cada una con criterios de pase cuantitativos. Ninguna fase avanza por sentido común; cada transición requiere una métrica medible.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060"/>
        <w:gridCol w:w="2900"/>
      </w:tblGrid>
      <w:tr>
        <w:trPr>
          <w:tblHeader/>
        </w:trPr>
        <w:tc>
          <w:tcPr>
            <w:tcW w:type="dxa" w:w="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Fase</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Semanas</w:t>
            </w:r>
          </w:p>
        </w:tc>
        <w:tc>
          <w:tcPr>
            <w:tcW w:type="dxa" w:w="40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Entregable</w:t>
            </w:r>
          </w:p>
        </w:tc>
        <w:tc>
          <w:tcPr>
            <w:tcW w:type="dxa" w:w="2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Criterio de pase</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Dataset de validación curado y benchmark de fuentes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200 leyes etiquetadas + REST estable 3 días</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2-3</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Infraestructura, base de datos, backup y monitoreo</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Restore test exitoso desde backup</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4-6</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Ingesta resiliente, resolver canónico, caché</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Cobertura 100% últimos 30 días, errores &lt;1%</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7-9</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Feature engineering, ensemble logística + LightGBM</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Brier holdout 2024 &lt; 0.20</w:t>
            </w:r>
          </w:p>
        </w:tc>
      </w:tr>
      <w:tr>
        <w:tc>
          <w:tcPr>
            <w:tcW w:type="dxa" w:w="9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b/>
                <w:bCs/>
                <w:sz w:val="20"/>
                <w:szCs w:val="20"/>
              </w:rPr>
              <w:t xml:space="preserve">3.5</w:t>
            </w:r>
          </w:p>
        </w:tc>
        <w:tc>
          <w:tcPr>
            <w:tcW w:type="dxa" w:w="15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sz w:val="20"/>
                <w:szCs w:val="20"/>
              </w:rPr>
              <w:t xml:space="preserve">10-13</w:t>
            </w:r>
          </w:p>
        </w:tc>
        <w:tc>
          <w:tcPr>
            <w:tcW w:type="dxa" w:w="40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sz w:val="20"/>
                <w:szCs w:val="20"/>
              </w:rPr>
              <w:t xml:space="preserve">Backtesting histórico 2015-2026, walk-forward, calibración real, catálogo de fallos</w:t>
            </w:r>
          </w:p>
        </w:tc>
        <w:tc>
          <w:tcPr>
            <w:tcW w:type="dxa" w:w="29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sz w:val="20"/>
                <w:szCs w:val="20"/>
              </w:rPr>
              <w:t xml:space="preserve">Brier walk-forward &lt; baseline en ≥60% meses, ECE &lt;0.05</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14-15</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Cascada de clasificación NLP en español legal</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Accuracy &gt;85% sobre dataset validación</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16</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Reporte semanal en lenguaje natural y dashboard</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Primer reporte generado y publicado</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Shadow</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17-20</w:t>
            </w:r>
          </w:p>
        </w:tc>
        <w:tc>
          <w:tcPr>
            <w:tcW w:type="dxa" w:w="4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Modo sombra: predicciones generadas, no publicadas, vs realidad</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Brier shadow no degrada respecto al backtest</w:t>
            </w:r>
          </w:p>
        </w:tc>
      </w:tr>
    </w:tbl>
    <w:p>
      <w:pPr>
        <w:spacing w:after="120"/>
      </w:pPr>
      <w:r>
        <w:t xml:space="preserve"/>
      </w:r>
    </w:p>
    <w:p>
      <w:pPr>
        <w:spacing w:after="140" w:line="320"/>
        <w:jc w:val="both"/>
      </w:pPr>
      <w:r>
        <w:rPr>
          <w:sz w:val="22"/>
          <w:szCs w:val="22"/>
        </w:rPr>
        <w:t xml:space="preserve">La fase 3.5 está resaltada porque es donde se construye el activo principal de credibilidad del proyecto: el dataset histórico de predicciones simuladas que respaldan la calibración del Factor μ y permiten que el primer informe público arranque con respaldo empírico, no con cold start.</w:t>
      </w:r>
    </w:p>
    <w:p>
      <w:r>
        <w:br w:type="page"/>
      </w:r>
    </w:p>
    <w:p>
      <w:pPr>
        <w:pStyle w:val="Heading1"/>
        <w:spacing w:after="200" w:before="360"/>
      </w:pPr>
      <w:r>
        <w:rPr>
          <w:b/>
          <w:bCs/>
          <w:color w:val="1F3A5F"/>
          <w:sz w:val="32"/>
          <w:szCs w:val="32"/>
        </w:rPr>
        <w:t xml:space="preserve">Estructura de Costos</w:t>
      </w:r>
    </w:p>
    <w:p>
      <w:pPr>
        <w:pStyle w:val="Heading2"/>
        <w:spacing w:after="160" w:before="280"/>
      </w:pPr>
      <w:r>
        <w:rPr>
          <w:b/>
          <w:bCs/>
          <w:color w:val="1F3A5F"/>
          <w:sz w:val="26"/>
          <w:szCs w:val="26"/>
        </w:rPr>
        <w:t xml:space="preserve">Costos de desarrollo (CAPEX, meses 1 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860"/>
      </w:tblGrid>
      <w:tr>
        <w:trPr>
          <w:tblHeader/>
        </w:trPr>
        <w:tc>
          <w:tcPr>
            <w:tcW w:type="dxa" w:w="4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Ítem</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Descripción</w:t>
            </w:r>
          </w:p>
        </w:tc>
        <w:tc>
          <w:tcPr>
            <w:tcW w:type="dxa" w:w="1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USD/mes</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Suscripción Claude Pro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Asistente de desarrollo durante construcción</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20-30</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Infraestructura de pruebas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Oracle Cloud Always Free</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0</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Horas de desarrollo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Ejecución interna</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0</w:t>
            </w:r>
          </w:p>
        </w:tc>
      </w:tr>
      <w:tr>
        <w:tc>
          <w:tcPr>
            <w:tcW w:type="dxa" w:w="45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b/>
                <w:bCs/>
                <w:sz w:val="20"/>
                <w:szCs w:val="20"/>
              </w:rPr>
              <w:t xml:space="preserve">TOTAL DESARROLLO</w:t>
            </w:r>
          </w:p>
        </w:tc>
        <w:tc>
          <w:tcPr>
            <w:tcW w:type="dxa" w:w="30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sz w:val="20"/>
                <w:szCs w:val="20"/>
              </w:rPr>
              <w:t xml:space="preserve">Gasto directo durante construcción</w:t>
            </w:r>
          </w:p>
        </w:tc>
        <w:tc>
          <w:tcPr>
            <w:tcW w:type="dxa" w:w="186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right"/>
            </w:pPr>
            <w:r>
              <w:rPr>
                <w:b/>
                <w:bCs/>
                <w:sz w:val="20"/>
                <w:szCs w:val="20"/>
              </w:rPr>
              <w:t xml:space="preserve">20-30</w:t>
            </w:r>
          </w:p>
        </w:tc>
      </w:tr>
    </w:tbl>
    <w:p>
      <w:pPr>
        <w:spacing w:after="120"/>
      </w:pPr>
      <w:r>
        <w:t xml:space="preserve"/>
      </w:r>
    </w:p>
    <w:p>
      <w:pPr>
        <w:pStyle w:val="Heading2"/>
        <w:spacing w:after="160" w:before="280"/>
      </w:pPr>
      <w:r>
        <w:rPr>
          <w:b/>
          <w:bCs/>
          <w:color w:val="1F3A5F"/>
          <w:sz w:val="26"/>
          <w:szCs w:val="26"/>
        </w:rPr>
        <w:t xml:space="preserve">Costos operativos a perpetuidad (OPEX)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430"/>
        <w:gridCol w:w="1430"/>
      </w:tblGrid>
      <w:tr>
        <w:trPr>
          <w:tblHeader/>
        </w:trPr>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Ítem</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Descripción</w:t>
            </w:r>
          </w:p>
        </w:tc>
        <w:tc>
          <w:tcPr>
            <w:tcW w:type="dxa" w:w="143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Óptimo USD</w:t>
            </w:r>
          </w:p>
        </w:tc>
        <w:tc>
          <w:tcPr>
            <w:tcW w:type="dxa" w:w="143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left"/>
            </w:pPr>
            <w:r>
              <w:rPr>
                <w:b/>
                <w:bCs/>
                <w:color w:val="FFFFFF"/>
                <w:sz w:val="20"/>
                <w:szCs w:val="20"/>
              </w:rPr>
              <w:t xml:space="preserve">Conservador USD</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Servidor principal</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Oracle ARM 24GB Always Free</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0</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0</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NLP cascada (Haiku)</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Clasificación de proyectos ambiguos</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1</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3</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Context Engine (Sonnet)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Síntesis coyuntural semanal</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2</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4</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Narrator (Sonnet)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Reporte semanal en lenguaje natural</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3</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5</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Backup offsite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Backblaze B2 (tier gratuito)</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0</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0</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Standby caliente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Hetzner CX22 (opcional)</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0</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right"/>
            </w:pPr>
            <w:r>
              <w:rPr>
                <w:sz w:val="20"/>
                <w:szCs w:val="20"/>
              </w:rPr>
              <w:t xml:space="preserve">5</w:t>
            </w:r>
          </w:p>
        </w:tc>
      </w:tr>
      <w:tr>
        <w:tc>
          <w:tcPr>
            <w:tcW w:type="dxa" w:w="35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b/>
                <w:bCs/>
                <w:sz w:val="20"/>
                <w:szCs w:val="20"/>
              </w:rPr>
              <w:t xml:space="preserve">TOTAL OPERATIVO</w:t>
            </w:r>
          </w:p>
        </w:tc>
        <w:tc>
          <w:tcPr>
            <w:tcW w:type="dxa" w:w="300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left"/>
            </w:pPr>
            <w:r>
              <w:rPr>
                <w:sz w:val="20"/>
                <w:szCs w:val="20"/>
              </w:rPr>
              <w:t xml:space="preserve">Costo mensual a perpetuidad</w:t>
            </w:r>
          </w:p>
        </w:tc>
        <w:tc>
          <w:tcPr>
            <w:tcW w:type="dxa" w:w="143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right"/>
            </w:pPr>
            <w:r>
              <w:rPr>
                <w:b/>
                <w:bCs/>
                <w:sz w:val="20"/>
                <w:szCs w:val="20"/>
              </w:rPr>
              <w:t xml:space="preserve">6</w:t>
            </w:r>
          </w:p>
        </w:tc>
        <w:tc>
          <w:tcPr>
            <w:tcW w:type="dxa" w:w="1430"/>
            <w:tcBorders>
              <w:top w:val="single" w:color="CCCCCC" w:sz="4"/>
              <w:left w:val="single" w:color="CCCCCC" w:sz="4"/>
              <w:bottom w:val="single" w:color="CCCCCC" w:sz="4"/>
              <w:right w:val="single" w:color="CCCCCC" w:sz="4"/>
            </w:tcBorders>
            <w:shd w:fill="E8EEF5" w:val="clear"/>
            <w:tcMar>
              <w:top w:type="dxa" w:w="100"/>
              <w:left w:type="dxa" w:w="140"/>
              <w:bottom w:type="dxa" w:w="100"/>
              <w:right w:type="dxa" w:w="140"/>
            </w:tcMar>
          </w:tcPr>
          <w:p>
            <w:pPr>
              <w:jc w:val="right"/>
            </w:pPr>
            <w:r>
              <w:rPr>
                <w:b/>
                <w:bCs/>
                <w:sz w:val="20"/>
                <w:szCs w:val="20"/>
              </w:rPr>
              <w:t xml:space="preserve">17</w:t>
            </w:r>
          </w:p>
        </w:tc>
      </w:tr>
    </w:tbl>
    <w:p>
      <w:pPr>
        <w:spacing w:after="120"/>
      </w:pPr>
      <w:r>
        <w:t xml:space="preserve"/>
      </w:r>
    </w:p>
    <w:p>
      <w:pPr>
        <w:spacing w:after="140" w:line="320"/>
        <w:jc w:val="both"/>
      </w:pPr>
      <w:r>
        <w:rPr>
          <w:sz w:val="22"/>
          <w:szCs w:val="22"/>
        </w:rPr>
        <w:t xml:space="preserve">Esta estructura de costos es uno de los diferenciadores estratégicos del proyecto. El sistema puede operar sosteniblemente con menos de veinte dólares mensuales aún en el escenario más conservador, lo que significa que la viabilidad financiera del producto no depende de alcanzar masa crítica de suscriptores rápidamente. La sustentabilidad operativa está asegurada incluso a escala mínima.</w:t>
      </w:r>
    </w:p>
    <w:p>
      <w:r>
        <w:br w:type="page"/>
      </w:r>
    </w:p>
    <w:p>
      <w:pPr>
        <w:pStyle w:val="Heading1"/>
        <w:spacing w:after="200" w:before="360"/>
      </w:pPr>
      <w:r>
        <w:rPr>
          <w:b/>
          <w:bCs/>
          <w:color w:val="1F3A5F"/>
          <w:sz w:val="32"/>
          <w:szCs w:val="32"/>
        </w:rPr>
        <w:t xml:space="preserve">Riesgos y Mitigaciones</w:t>
      </w:r>
    </w:p>
    <w:p>
      <w:pPr>
        <w:spacing w:after="140" w:line="320"/>
        <w:jc w:val="both"/>
      </w:pPr>
      <w:r>
        <w:rPr>
          <w:sz w:val="22"/>
          <w:szCs w:val="22"/>
        </w:rPr>
        <w:t xml:space="preserve">La honestidad sobre los riesgos es parte del valor que la plataforma se compromete a entregar. Los principales riesgos identificados a través de un análisis premortem riguroso son los siguientes.</w:t>
      </w:r>
    </w:p>
    <w:p>
      <w:pPr>
        <w:pStyle w:val="Heading3"/>
        <w:spacing w:after="120" w:before="200"/>
      </w:pPr>
      <w:r>
        <w:rPr>
          <w:b/>
          <w:bCs/>
          <w:color w:val="333333"/>
          <w:sz w:val="22"/>
          <w:szCs w:val="22"/>
        </w:rPr>
        <w:t xml:space="preserve">Riesgo: cambios estructurales en fuentes oficiales</w:t>
      </w:r>
    </w:p>
    <w:p>
      <w:pPr>
        <w:spacing w:after="140" w:line="320"/>
        <w:jc w:val="both"/>
      </w:pPr>
      <w:r>
        <w:rPr>
          <w:sz w:val="22"/>
          <w:szCs w:val="22"/>
        </w:rPr>
        <w:t xml:space="preserve">Las páginas y APIs del Congreso argentino han cambiado estructura sin previo aviso en múltiples ocasiones. Mitigación: arquitectura de adapter independiente por fuente con validación de schema, snapshot en caché, fallback a cero degradación cuando una fuente está caída.</w:t>
      </w:r>
    </w:p>
    <w:p>
      <w:pPr>
        <w:pStyle w:val="Heading3"/>
        <w:spacing w:after="120" w:before="200"/>
      </w:pPr>
      <w:r>
        <w:rPr>
          <w:b/>
          <w:bCs/>
          <w:color w:val="333333"/>
          <w:sz w:val="22"/>
          <w:szCs w:val="22"/>
        </w:rPr>
        <w:t xml:space="preserve">Riesgo: degradación de calibración por cambio de régimen político</w:t>
      </w:r>
    </w:p>
    <w:p>
      <w:pPr>
        <w:spacing w:after="140" w:line="320"/>
        <w:jc w:val="both"/>
      </w:pPr>
      <w:r>
        <w:rPr>
          <w:sz w:val="22"/>
          <w:szCs w:val="22"/>
        </w:rPr>
        <w:t xml:space="preserve">La performance del modelo puede degradar transitoriamente cuando hay cambios significativos en la composición del Congreso o del Ejecutivo. Mitigación: el catálogo de modos de fallo del backtesting documenta explícitamente esta categoría y ampliación automática de bandas de confianza cuando se detecta un cambio reciente de gobierno.</w:t>
      </w:r>
    </w:p>
    <w:p>
      <w:pPr>
        <w:pStyle w:val="Heading3"/>
        <w:spacing w:after="120" w:before="200"/>
      </w:pPr>
      <w:r>
        <w:rPr>
          <w:b/>
          <w:bCs/>
          <w:color w:val="333333"/>
          <w:sz w:val="22"/>
          <w:szCs w:val="22"/>
        </w:rPr>
        <w:t xml:space="preserve">Riesgo: error público en una predicción de alto perfil</w:t>
      </w:r>
    </w:p>
    <w:p>
      <w:pPr>
        <w:spacing w:after="140" w:line="320"/>
        <w:jc w:val="both"/>
      </w:pPr>
      <w:r>
        <w:rPr>
          <w:sz w:val="22"/>
          <w:szCs w:val="22"/>
        </w:rPr>
        <w:t xml:space="preserve">Aún con calibración correcta, predicciones individuales pueden fallar visiblemente. Mitigación: política de erratas pública y disclaimer probabilístico claro. El reliability diagram histórico permite contextualizar errores individuales dentro de una performance global creíble.</w:t>
      </w:r>
    </w:p>
    <w:p>
      <w:pPr>
        <w:pStyle w:val="Heading3"/>
        <w:spacing w:after="120" w:before="200"/>
      </w:pPr>
      <w:r>
        <w:rPr>
          <w:b/>
          <w:bCs/>
          <w:color w:val="333333"/>
          <w:sz w:val="22"/>
          <w:szCs w:val="22"/>
        </w:rPr>
        <w:t xml:space="preserve">Riesgo: reclamación de instancia gratuita por parte del proveedor cloud</w:t>
      </w:r>
    </w:p>
    <w:p>
      <w:pPr>
        <w:spacing w:after="140" w:line="320"/>
        <w:jc w:val="both"/>
      </w:pPr>
      <w:r>
        <w:rPr>
          <w:sz w:val="22"/>
          <w:szCs w:val="22"/>
        </w:rPr>
        <w:t xml:space="preserve">Oracle puede reclamar instancias Always Free por baja utilización. Mitigación: heartbeat artificial, bind mounts explícitos en todos los volúmenes, backup diario automatizado, standby caliente provisionado y procedimiento de migración documentado con RTO inferior a treinta minutos.</w:t>
      </w:r>
    </w:p>
    <w:p>
      <w:pPr>
        <w:pStyle w:val="Heading3"/>
        <w:spacing w:after="120" w:before="200"/>
      </w:pPr>
      <w:r>
        <w:rPr>
          <w:b/>
          <w:bCs/>
          <w:color w:val="333333"/>
          <w:sz w:val="22"/>
          <w:szCs w:val="22"/>
        </w:rPr>
        <w:t xml:space="preserve">Riesgo: exposición legal por nombramiento de legisladores</w:t>
      </w:r>
    </w:p>
    <w:p>
      <w:pPr>
        <w:spacing w:after="140" w:line="320"/>
        <w:jc w:val="both"/>
      </w:pPr>
      <w:r>
        <w:rPr>
          <w:sz w:val="22"/>
          <w:szCs w:val="22"/>
        </w:rPr>
        <w:t xml:space="preserve">Publicar predicciones nombrando legisladores conlleva un riesgo de exposición legal si una predicción es interpretada como afirmación de hecho. Mitigación: disclaimer legal explícito en cada publicación, estructura societaria mínima previa al lanzamiento, política de erratas pública, y consulta legal previa al primer informe nominal.</w:t>
      </w:r>
    </w:p>
    <w:p>
      <w:r>
        <w:br w:type="page"/>
      </w:r>
    </w:p>
    <w:p>
      <w:pPr>
        <w:pStyle w:val="Heading1"/>
        <w:spacing w:after="200" w:before="360"/>
      </w:pPr>
      <w:r>
        <w:rPr>
          <w:b/>
          <w:bCs/>
          <w:color w:val="1F3A5F"/>
          <w:sz w:val="32"/>
          <w:szCs w:val="32"/>
        </w:rPr>
        <w:t xml:space="preserve">Cierre y Próximos Pasos</w:t>
      </w:r>
    </w:p>
    <w:p>
      <w:pPr>
        <w:spacing w:after="140" w:line="320"/>
        <w:jc w:val="both"/>
      </w:pPr>
      <w:r>
        <w:rPr>
          <w:sz w:val="22"/>
          <w:szCs w:val="22"/>
        </w:rPr>
        <w:t xml:space="preserve">El proyecto está en condición de avanzar inmediatamente a la Fase 0: construcción del dataset de validación curado de doscientas a trescientas leyes históricas etiquetadas manualmente. Este es el activo fundacional sobre el cual se valida todo el resto del sistema.</w:t>
      </w:r>
    </w:p>
    <w:p>
      <w:pPr>
        <w:spacing w:after="140" w:line="320"/>
        <w:jc w:val="both"/>
      </w:pPr>
      <w:r>
        <w:rPr>
          <w:sz w:val="22"/>
          <w:szCs w:val="22"/>
        </w:rPr>
        <w:t xml:space="preserve">La inversión solicitada cubre el desarrollo durante dieciséis a veintidós semanas calendario. A partir del lanzamiento, los costos operativos quedan en el rango documentado de seis a diecisiete dólares mensuales, lo que vuelve al proyecto autosustentable incluso a baja adopción.</w:t>
      </w:r>
    </w:p>
    <w:p>
      <w:pPr>
        <w:spacing w:after="140" w:line="320"/>
        <w:jc w:val="both"/>
      </w:pPr>
      <w:r>
        <w:rPr>
          <w:sz w:val="22"/>
          <w:szCs w:val="22"/>
        </w:rPr>
        <w:t xml:space="preserve">La diferenciación competitiva del proyecto es triple: rigor metodológico verificable mediante backtesting publicado, resiliencia operativa construida desde el primer día, y compromiso de transparencia radical mediante methodology page, predicciones pre-registradas y errata log público. Estos tres elementos juntos son lo que distingue a un activo defendible de un experimento.</w:t>
      </w:r>
    </w:p>
    <w:p>
      <w:pPr>
        <w:spacing w:after="120"/>
      </w:pPr>
      <w:r>
        <w:t xml:space="preserve"/>
      </w:r>
    </w:p>
    <w:p>
      <w:pPr>
        <w:spacing w:after="100" w:line="320"/>
      </w:pPr>
      <w:r>
        <w:rPr>
          <w:b/>
          <w:bCs/>
          <w:sz w:val="22"/>
          <w:szCs w:val="22"/>
        </w:rPr>
        <w:t xml:space="preserve">Próximas decisiones requeridas:</w:t>
      </w:r>
    </w:p>
    <w:p>
      <w:pPr>
        <w:pStyle w:val="ListParagraph"/>
        <w:numPr>
          <w:ilvl w:val="0"/>
          <w:numId w:val="2"/>
        </w:numPr>
        <w:spacing w:after="80" w:line="300"/>
      </w:pPr>
      <w:r>
        <w:rPr>
          <w:sz w:val="22"/>
          <w:szCs w:val="22"/>
        </w:rPr>
        <w:t xml:space="preserve">Confirmación del financiamiento para Fase 0 y Fase 1 (cinco semanas iniciales).</w:t>
      </w:r>
    </w:p>
    <w:p>
      <w:pPr>
        <w:pStyle w:val="ListParagraph"/>
        <w:numPr>
          <w:ilvl w:val="0"/>
          <w:numId w:val="2"/>
        </w:numPr>
        <w:spacing w:after="80" w:line="300"/>
      </w:pPr>
      <w:r>
        <w:rPr>
          <w:sz w:val="22"/>
          <w:szCs w:val="22"/>
        </w:rPr>
        <w:t xml:space="preserve">Designación de un asesor legal para revisar los términos de uso, disclaimer y estructura societaria mínima.</w:t>
      </w:r>
    </w:p>
    <w:p>
      <w:pPr>
        <w:pStyle w:val="ListParagraph"/>
        <w:numPr>
          <w:ilvl w:val="0"/>
          <w:numId w:val="2"/>
        </w:numPr>
        <w:spacing w:after="80" w:line="300"/>
      </w:pPr>
      <w:r>
        <w:rPr>
          <w:sz w:val="22"/>
          <w:szCs w:val="22"/>
        </w:rPr>
        <w:t xml:space="preserve">Definición de la primera comunidad piloto: dos a tres usuarios institucionales que reciban el shadow report semanal y aporten feedback metodológico durante las cuatro semanas previas al lanzamiento público.</w:t>
      </w:r>
    </w:p>
    <w:p>
      <w:pPr>
        <w:spacing w:after="120"/>
      </w:pPr>
      <w:r>
        <w:t xml:space="preserve"/>
      </w:r>
    </w:p>
    <w:p>
      <w:pPr>
        <w:spacing w:after="100" w:line="320"/>
      </w:pPr>
      <w:r>
        <w:rPr>
          <w:b/>
          <w:bCs/>
          <w:sz w:val="22"/>
          <w:szCs w:val="22"/>
        </w:rPr>
        <w:t xml:space="preserve">Documentación técnica complementaria disponible:</w:t>
      </w:r>
    </w:p>
    <w:p>
      <w:pPr>
        <w:pStyle w:val="ListParagraph"/>
        <w:numPr>
          <w:ilvl w:val="0"/>
          <w:numId w:val="2"/>
        </w:numPr>
        <w:spacing w:after="80" w:line="300"/>
      </w:pPr>
      <w:r>
        <w:rPr>
          <w:sz w:val="22"/>
          <w:szCs w:val="22"/>
        </w:rPr>
        <w:t xml:space="preserve">Plan de Resiliencia v2.1: arquitectura detallada, mapeo de variables, análisis de capacidad.</w:t>
      </w:r>
    </w:p>
    <w:p>
      <w:pPr>
        <w:pStyle w:val="ListParagraph"/>
        <w:numPr>
          <w:ilvl w:val="0"/>
          <w:numId w:val="2"/>
        </w:numPr>
        <w:spacing w:after="80" w:line="300"/>
      </w:pPr>
      <w:r>
        <w:rPr>
          <w:sz w:val="22"/>
          <w:szCs w:val="22"/>
        </w:rPr>
        <w:t xml:space="preserve">Análisis exhaustivo de resiliencia y mejoras pre-lanzamiento.</w:t>
      </w:r>
    </w:p>
    <w:p>
      <w:pPr>
        <w:pStyle w:val="ListParagraph"/>
        <w:numPr>
          <w:ilvl w:val="0"/>
          <w:numId w:val="2"/>
        </w:numPr>
        <w:spacing w:after="80" w:line="300"/>
      </w:pPr>
      <w:r>
        <w:rPr>
          <w:sz w:val="22"/>
          <w:szCs w:val="22"/>
        </w:rPr>
        <w:t xml:space="preserve">Fase 3.5: diseño completo del backtesting histórico.</w:t>
      </w:r>
    </w:p>
    <w:p>
      <w:pPr>
        <w:pStyle w:val="ListParagraph"/>
        <w:numPr>
          <w:ilvl w:val="0"/>
          <w:numId w:val="2"/>
        </w:numPr>
        <w:spacing w:after="80" w:line="300"/>
      </w:pPr>
      <w:r>
        <w:rPr>
          <w:sz w:val="22"/>
          <w:szCs w:val="22"/>
        </w:rPr>
        <w:t xml:space="preserve">Informe Premortem: análisis de riesgos críticos del diseño original y mitigaciones.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3"/>
        <w:sz w:val="18"/>
        <w:szCs w:val="18"/>
      </w:rPr>
      <w:t xml:space="preserve">Página </w:t>
    </w:r>
    <w:r>
      <w:rPr>
        <w:color w:val="5A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573"/>
        <w:sz w:val="18"/>
        <w:szCs w:val="18"/>
      </w:rPr>
      <w:t xml:space="preserve">Nowcast Legislativo Argentino — Documento Ejecutivo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Nowcast Legislativo - Documento Ejecutivo</dc:title>
  <dc:creator>Nowcast Legislativo Argentino</dc:creator>
  <cp:lastModifiedBy>Un-named</cp:lastModifiedBy>
  <cp:revision>1</cp:revision>
  <dcterms:created xsi:type="dcterms:W3CDTF">2026-05-28T23:05:36.695Z</dcterms:created>
  <dcterms:modified xsi:type="dcterms:W3CDTF">2026-05-28T23:05:36.696Z</dcterms:modified>
</cp:coreProperties>
</file>

<file path=docProps/custom.xml><?xml version="1.0" encoding="utf-8"?>
<Properties xmlns="http://schemas.openxmlformats.org/officeDocument/2006/custom-properties" xmlns:vt="http://schemas.openxmlformats.org/officeDocument/2006/docPropsVTypes"/>
</file>