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para Documentação de Requisitos na Forma de Casos de Uso: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Monitoramento.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Identificador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CSA02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Importância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Risco alto e prioridade alta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administrador deseja verificar as atitudes tomadas pelos usuários no sistema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Ator Primário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Administrador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Atores </w:t>
        <w:tab/>
        <w:tab/>
        <w:t xml:space="preserve">Secundários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Usuário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&lt;O </w:t>
        <w:tab/>
        <w:t xml:space="preserve">fluxo principal de um caso de uso, por vezes chamado de fluxo </w:t>
        <w:tab/>
        <w:t xml:space="preserve">básico, corresponde à sua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descrição </w:t>
        <w:tab/>
        <w:t xml:space="preserve">da sequência de passos usual. Isso significa que fluxo principal </w:t>
        <w:tab/>
        <w:t xml:space="preserve">descreve o que normalmente acontece quando o caso de uso é </w:t>
        <w:tab/>
        <w:t xml:space="preserve">utilizado. Toda descrição de caso de uso deve ter um fluxo </w:t>
        <w:tab/>
        <w:t xml:space="preserve">principal. O texto descritivo desse fluxo (assim como dos fluxos </w:t>
        <w:tab/>
        <w:t xml:space="preserve">alternativos e de exceção, descritos a seguir) precisa ser claro e </w:t>
        <w:tab/>
        <w:t xml:space="preserve">conciso. Além disso, nessa descrição, o modelador deve se ater ao </w:t>
        <w:tab/>
        <w:t xml:space="preserve">domínio do problema, e não à sua solução. Portanto, o jargão </w:t>
        <w:tab/>
        <w:t xml:space="preserve">computacional não deve ser utilizado na descrição de casos de </w:t>
        <w:tab/>
        <w:t xml:space="preserve">uso; ao contrário, casos de uso devem ser escritos do ponto de </w:t>
        <w:tab/>
        <w:t xml:space="preserve">vista do usuário e usando a sua terminologia.&gt;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&lt;Por </w:t>
        <w:tab/>
        <w:t xml:space="preserve">vezes, um caso de uso pode ser utilizado de diversas maneiras </w:t>
        <w:tab/>
        <w:t xml:space="preserve">possíveis, o que resulta na existência de diversos cenários para </w:t>
        <w:tab/>
        <w:t xml:space="preserve">o mesmo. Esses fluxos podem ser utilizados para descrever o que </w:t>
        <w:tab/>
        <w:t xml:space="preserve">acontece quando o ator opta por utilizar o caso de uso de uma forma </w:t>
        <w:tab/>
        <w:t xml:space="preserve">alternativa, diferente da descrita no fluxo principal, para alcançar </w:t>
        <w:tab/>
        <w:t xml:space="preserve">o seu objetivo. Fluxos alternativos também podem ser utilizados </w:t>
        <w:tab/>
        <w:t xml:space="preserve">para descrever situações de escolha exclusivas entre si (em que há </w:t>
        <w:tab/>
        <w:t xml:space="preserve">diversas alternativas e somente uma deve ser realizada). A Figura 1 </w:t>
        <w:tab/>
        <w:t xml:space="preserve">ilustra de forma esquemática essas situações de uso dos fluxos </w:t>
        <w:tab/>
        <w:t xml:space="preserve">alternativos. As linhas tracejadas representam fluxos alternativos. </w:t>
        <w:tab/>
        <w:t xml:space="preserve">A linha sólida representa o fluxo principal. Note que é possível </w:t>
        <w:tab/>
        <w:t xml:space="preserve">que a descrição de um caso de uso tenha somente o fluxo principal, </w:t>
        <w:tab/>
        <w:t xml:space="preserve">sem fluxos alternativos.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</w:t>
        <w:tab/>
        <w:t xml:space="preserve">1: Fluxos alternativos em um caso de uso.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Uma </w:t>
        <w:tab/>
        <w:t xml:space="preserve">dúvida que pode existir durante a descrição de um caso de uso é </w:t>
        <w:tab/>
        <w:t xml:space="preserve">se um determinado comportamento deve ser descrito como um fluxo </w:t>
        <w:tab/>
        <w:t xml:space="preserve">alternativo ou como um caso de uso de extensão. Podemos resolver </w:t>
        <w:tab/>
        <w:t xml:space="preserve">esse dilema recorrendo à definição do relacionamento de extensão. </w:t>
        <w:tab/>
        <w:t xml:space="preserve">Esse relacionamento implica que, ao comportamento de um caso de uso, </w:t>
        <w:tab/>
        <w:t xml:space="preserve">pode ser inserido o comportamento definido em outro caso de uso. </w:t>
        <w:tab/>
        <w:t xml:space="preserve">Note a utilização do termo “inserido”, significando que o </w:t>
        <w:tab/>
        <w:t xml:space="preserve">comportamento do caso de uso extensor não substitui parte alguma do </w:t>
        <w:tab/>
        <w:t xml:space="preserve">caso de uso estendido, e sim o complementa. Podemos pensar no caso </w:t>
        <w:tab/>
        <w:t xml:space="preserve">de uso extensor como uma extensão que descreve um comportamento que </w:t>
        <w:tab/>
        <w:t xml:space="preserve">funciona como uma interrupção em relação ao caso de uso de </w:t>
        <w:tab/>
        <w:t xml:space="preserve">estendido. Por outro lado, um fluxo alternativo descreve um </w:t>
        <w:tab/>
        <w:t xml:space="preserve">comportamento alternativo para a execução do fluxo principal, que </w:t>
        <w:tab/>
        <w:t xml:space="preserve">substitui uma parte do comportamento do fluxo principal. De qualquer </w:t>
        <w:tab/>
        <w:t xml:space="preserve">maneira, a decisão de utilizar um fluxo alternativo ou um caso de </w:t>
        <w:tab/>
        <w:t xml:space="preserve">uso de extensão não terá tanta importância quanto o fato de </w:t>
        <w:tab/>
        <w:t xml:space="preserve">ignorar a existência do comportamento adicional.&gt;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&lt;Um </w:t>
        <w:tab/>
        <w:t xml:space="preserve">fluxo de exceção é similar a um fluxo alternativo, uma vez que </w:t>
        <w:tab/>
        <w:t xml:space="preserve">também representa um comportamento executado como um “desvio” a </w:t>
        <w:tab/>
        <w:t xml:space="preserve">partir do fluxo básico de um caso de uso. No entanto, os primeiros </w:t>
        <w:tab/>
        <w:t xml:space="preserve">correspondem à descrição de situações de exceção. Isso </w:t>
        <w:tab/>
        <w:t xml:space="preserve">significa que fluxos de exceção descrevem o que acontece quando </w:t>
        <w:tab/>
        <w:t xml:space="preserve">algo inesperado ocorre na interação entre ator e caso de uso (p. </w:t>
        <w:tab/>
        <w:t xml:space="preserve">ex., quando um usuário realiza alguma ação inválida).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 </w:t>
        <w:tab/>
        <w:t xml:space="preserve">importância de fluxos de exceção está no fato de o modelador </w:t>
        <w:tab/>
        <w:t xml:space="preserve">poder especificar situações não usuais, a partir das quais o </w:t>
        <w:tab/>
        <w:t xml:space="preserve">sistema pode se recuperar (contornar a situação) ou cancelar a </w:t>
        <w:tab/>
        <w:t xml:space="preserve">realização do caso de uso em questão.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Um </w:t>
        <w:tab/>
        <w:t xml:space="preserve">fluxo de exceção possui algumas características importantes, </w:t>
        <w:tab/>
        <w:t xml:space="preserve">listadas a seguir.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Representa </w:t>
        <w:tab/>
        <w:tab/>
        <w:t xml:space="preserve">um erro de operação durante o fluxo principal do caso de uso.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Não </w:t>
        <w:tab/>
        <w:tab/>
        <w:t xml:space="preserve">tem sentido fora do contexto do caso de uso no qual ocorre.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Deve </w:t>
        <w:tab/>
        <w:tab/>
        <w:t xml:space="preserve">indicar em que passo o caso de uso continua ou, conforme for, </w:t>
        <w:tab/>
        <w:tab/>
        <w:t xml:space="preserve">indicar explicitamente quando ele termina.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Por </w:t>
        <w:tab/>
        <w:t xml:space="preserve">exemplo, considere um caso de uso denominado Realizar Pedido , em </w:t>
        <w:tab/>
        <w:t xml:space="preserve">que um ator usa o sistema para realizar uma encomenda (pedido) de </w:t>
        <w:tab/>
        <w:t xml:space="preserve">quaisquer produtos. A seguir são listadas algumas situações não </w:t>
        <w:tab/>
        <w:t xml:space="preserve">usuais que seriam tratadas em fluxos de exceção na descrição </w:t>
        <w:tab/>
        <w:t xml:space="preserve">desse caso de uso.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E se </w:t>
        <w:tab/>
        <w:t xml:space="preserve">o cartão de crédito excede o limite?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E se </w:t>
        <w:tab/>
        <w:t xml:space="preserve">a loja não tem a quantidade requisitada para um dos produtos </w:t>
        <w:tab/>
        <w:t xml:space="preserve">desejados?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E se </w:t>
        <w:tab/>
        <w:t xml:space="preserve">o cliente já tem um débito anterior?&gt;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&lt;Em </w:t>
        <w:tab/>
        <w:t xml:space="preserve">alguns casos, em vez de gerar um resultado observável, o estado do </w:t>
        <w:tab/>
        <w:t xml:space="preserve">sistema pode mudar após um caso de uso ser realizado. Essa situação </w:t>
        <w:tab/>
        <w:t xml:space="preserve">é especificada como uma pós-condição. Uma pós-condição é um </w:t>
        <w:tab/>
        <w:t xml:space="preserve">estado que o sistema alcança após certo caso de uso ter sido </w:t>
        <w:tab/>
        <w:t xml:space="preserve">executado.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 </w:t>
        <w:tab/>
        <w:t xml:space="preserve">pós-condição deve declarar qual é esse estado, em vez de </w:t>
        <w:tab/>
        <w:t xml:space="preserve">declarar como ele foi alcançado. Um exemplo típico de pós-condição </w:t>
        <w:tab/>
        <w:t xml:space="preserve">é a declaração de que uma (ou mais de uma) informação foi </w:t>
        <w:tab/>
        <w:t xml:space="preserve">modificada, removida ou criada no sistema. Pós-condições são </w:t>
        <w:tab/>
        <w:t xml:space="preserve">normalmente descritas utilizando o tempo pretérito.&gt;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&lt;A </w:t>
        <w:tab/>
        <w:t xml:space="preserve">descrição de um caso de uso também pode fazer referência cruzada </w:t>
        <w:tab/>
        <w:t xml:space="preserve">a uma ou mais regras do negócio.&gt;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Histórico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&lt;Este </w:t>
        <w:tab/>
        <w:t xml:space="preserve">item da descrição do caso de uso pode declarar informações como </w:t>
        <w:tab/>
        <w:t xml:space="preserve">o autor do caso de uso, a data em que ele foi criado, além de </w:t>
        <w:tab/>
        <w:t xml:space="preserve">eventuais modificações no seu conteúdo.&gt;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Notas de Implementação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&lt;Na </w:t>
        <w:tab/>
        <w:t xml:space="preserve">descrição dos fluxos (principal, alternativos e de exceção) de </w:t>
        <w:tab/>
        <w:t xml:space="preserve">um caso de uso, o objetivo é manter a narrativa em um alto nível e </w:t>
        <w:tab/>
        <w:t xml:space="preserve">utilizar a terminologia do domínio. Entretanto, ao fazer isso, </w:t>
        <w:tab/>
        <w:t xml:space="preserve">podem vir à mente do modelador algumas considerações relativas à </w:t>
        <w:tab/>
        <w:t xml:space="preserve">implementação desse caso de uso. A seção notas de implementação </w:t>
        <w:tab/>
        <w:t xml:space="preserve">serve para capturar essas ideias. Note que essa seção não é a </w:t>
        <w:tab/>
        <w:t xml:space="preserve">especificação da solução para implementar um caso de uso. Ela </w:t>
        <w:tab/>
        <w:t xml:space="preserve">serve somente para capturar ideias de implementação relevantes que </w:t>
        <w:tab/>
        <w:t xml:space="preserve">passam pela cabeça do modelador do caso de uso, enquanto o está </w:t>
        <w:tab/>
        <w:t xml:space="preserve">descrevendo. Note, também, que esta seção (assim como a de </w:t>
        <w:tab/>
        <w:t xml:space="preserve">histórico) não deve ser utilizada na atividade de validação.&gt;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Documentação Auxiliar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&lt;Criar </w:t>
        <w:tab/>
        <w:t xml:space="preserve">um link para cada documento utilizado para a elaboração da </w:t>
        <w:tab/>
        <w:t xml:space="preserve">descrição deste caso de uso, como por exemplo: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Diagramas </w:t>
        <w:tab/>
        <w:tab/>
        <w:t xml:space="preserve">da UML (caso de uso, classes, sequência, estados, etc).&gt;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