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F37" w:rsidRDefault="00425173">
      <w:r>
        <w:t>Trevor Huis in ‘t Veld</w:t>
      </w:r>
    </w:p>
    <w:p w:rsidR="00425173" w:rsidRDefault="00425173" w:rsidP="00425173">
      <w:pPr>
        <w:jc w:val="center"/>
      </w:pPr>
      <w:r>
        <w:t>Excel Homework Report – Week 1</w:t>
      </w:r>
    </w:p>
    <w:p w:rsidR="00425173" w:rsidRPr="006275EF" w:rsidRDefault="006275EF" w:rsidP="006275EF">
      <w:pPr>
        <w:jc w:val="center"/>
        <w:rPr>
          <w:sz w:val="40"/>
          <w:szCs w:val="40"/>
        </w:rPr>
      </w:pPr>
      <w:r w:rsidRPr="006275EF">
        <w:rPr>
          <w:sz w:val="40"/>
          <w:szCs w:val="40"/>
        </w:rPr>
        <w:t>Conclusions on Kickstarter Campaigns</w:t>
      </w:r>
    </w:p>
    <w:p w:rsidR="006275EF" w:rsidRDefault="006275EF" w:rsidP="006275EF">
      <w:pPr>
        <w:pStyle w:val="ListParagraph"/>
      </w:pPr>
    </w:p>
    <w:p w:rsidR="00E937BD" w:rsidRDefault="00EB1712" w:rsidP="006275EF">
      <w:pPr>
        <w:pStyle w:val="ListParagraph"/>
      </w:pPr>
      <w:r>
        <w:t xml:space="preserve">The </w:t>
      </w:r>
      <w:r w:rsidR="00E937BD">
        <w:t>data from the Kickstarter campaign gives numerous insights into the properties of successful and unsuccessful campaigns.</w:t>
      </w:r>
    </w:p>
    <w:p w:rsidR="00E937BD" w:rsidRDefault="00E937BD" w:rsidP="00E937BD">
      <w:pPr>
        <w:pStyle w:val="ListParagraph"/>
      </w:pPr>
    </w:p>
    <w:p w:rsidR="00425173" w:rsidRDefault="00E937BD" w:rsidP="00E937B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6292F9">
            <wp:simplePos x="0" y="0"/>
            <wp:positionH relativeFrom="margin">
              <wp:align>right</wp:align>
            </wp:positionH>
            <wp:positionV relativeFrom="paragraph">
              <wp:posOffset>600710</wp:posOffset>
            </wp:positionV>
            <wp:extent cx="5943600" cy="2773680"/>
            <wp:effectExtent l="0" t="0" r="0" b="7620"/>
            <wp:wrapTight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ight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900A83-DDEA-41EC-BDA2-96B7B56AD0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most apparent influence on success is the size of the goal. The larger the funding goal, the less likely a campaign is to succeed. Success rates go down while both cancellation and failure rates rise. </w:t>
      </w:r>
    </w:p>
    <w:p w:rsidR="00561A8E" w:rsidRDefault="00561A8E" w:rsidP="00E937BD">
      <w:pPr>
        <w:ind w:left="1125"/>
      </w:pPr>
    </w:p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487428" w:rsidRDefault="00487428" w:rsidP="00487428"/>
    <w:p w:rsidR="00E937BD" w:rsidRDefault="00487428" w:rsidP="00561A8E">
      <w:pPr>
        <w:pStyle w:val="ListParagraph"/>
        <w:numPr>
          <w:ilvl w:val="0"/>
          <w:numId w:val="2"/>
        </w:numPr>
      </w:pPr>
      <w:r>
        <w:lastRenderedPageBreak/>
        <w:t>The profile of a large goal campaign (greater than $50,000) and a small goal campaign (less than $1,000) is very different. Theater dominates the small goal campaigns and when a theater campaign attempts a large goal; it’s success rate plummets. Technology dominates the higher ambition projects and boasts higher success rates</w:t>
      </w:r>
      <w:r w:rsidR="006D31A6">
        <w:t xml:space="preserve"> than the other categories. </w:t>
      </w:r>
    </w:p>
    <w:p w:rsidR="00F51BB2" w:rsidRDefault="00487428" w:rsidP="00E937BD">
      <w:pPr>
        <w:ind w:left="112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262890</wp:posOffset>
                </wp:positionV>
                <wp:extent cx="2316480" cy="352425"/>
                <wp:effectExtent l="0" t="0" r="762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7428" w:rsidRPr="00487428" w:rsidRDefault="00487428" w:rsidP="0048742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487428">
                              <w:rPr>
                                <w:sz w:val="36"/>
                                <w:szCs w:val="36"/>
                              </w:rPr>
                              <w:t>Greater than $50,000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0.7pt;width:182.4pt;height:27.7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" stroked="f">
                <v:textbox>
                  <w:txbxContent>
                    <w:p w:rsidR="00487428" w:rsidRPr="00487428" w:rsidRDefault="00487428" w:rsidP="0048742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487428">
                        <w:rPr>
                          <w:sz w:val="36"/>
                          <w:szCs w:val="36"/>
                        </w:rPr>
                        <w:t>Greater than $50,000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0F52EEE" wp14:editId="3916525A">
                <wp:simplePos x="0" y="0"/>
                <wp:positionH relativeFrom="margin">
                  <wp:align>center</wp:align>
                </wp:positionH>
                <wp:positionV relativeFrom="paragraph">
                  <wp:posOffset>3272790</wp:posOffset>
                </wp:positionV>
                <wp:extent cx="2316480" cy="352425"/>
                <wp:effectExtent l="0" t="0" r="7620" b="952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7428" w:rsidRPr="00487428" w:rsidRDefault="00487428" w:rsidP="0048742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Less</w:t>
                            </w:r>
                            <w:r w:rsidRPr="00487428">
                              <w:rPr>
                                <w:sz w:val="36"/>
                                <w:szCs w:val="36"/>
                              </w:rPr>
                              <w:t xml:space="preserve"> than $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  <w:r w:rsidRPr="00487428">
                              <w:rPr>
                                <w:sz w:val="36"/>
                                <w:szCs w:val="36"/>
                              </w:rPr>
                              <w:t>,000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2EEE" id="_x0000_s1027" type="#_x0000_t202" style="position:absolute;left:0;text-align:left;margin-left:0;margin-top:257.7pt;width:182.4pt;height:27.7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" stroked="f">
                <v:textbox>
                  <w:txbxContent>
                    <w:p w:rsidR="00487428" w:rsidRPr="00487428" w:rsidRDefault="00487428" w:rsidP="0048742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Less</w:t>
                      </w:r>
                      <w:r w:rsidRPr="00487428">
                        <w:rPr>
                          <w:sz w:val="36"/>
                          <w:szCs w:val="36"/>
                        </w:rPr>
                        <w:t xml:space="preserve"> than $</w:t>
                      </w:r>
                      <w:r>
                        <w:rPr>
                          <w:sz w:val="36"/>
                          <w:szCs w:val="36"/>
                        </w:rPr>
                        <w:t>1</w:t>
                      </w:r>
                      <w:r w:rsidRPr="00487428">
                        <w:rPr>
                          <w:sz w:val="36"/>
                          <w:szCs w:val="36"/>
                        </w:rPr>
                        <w:t>,000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E291A04">
            <wp:simplePos x="0" y="0"/>
            <wp:positionH relativeFrom="margin">
              <wp:align>right</wp:align>
            </wp:positionH>
            <wp:positionV relativeFrom="paragraph">
              <wp:posOffset>3183890</wp:posOffset>
            </wp:positionV>
            <wp:extent cx="5945505" cy="27527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1A8E">
        <w:rPr>
          <w:noProof/>
        </w:rPr>
        <w:drawing>
          <wp:anchor distT="0" distB="0" distL="114300" distR="114300" simplePos="0" relativeHeight="251660288" behindDoc="0" locked="0" layoutInCell="1" allowOverlap="1" wp14:anchorId="658EAC92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3600" cy="27508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>
      <w:pPr>
        <w:pStyle w:val="ListParagraph"/>
        <w:numPr>
          <w:ilvl w:val="0"/>
          <w:numId w:val="4"/>
        </w:numPr>
      </w:pPr>
      <w:r>
        <w:t>The</w:t>
      </w:r>
      <w:r w:rsidR="00575CDE">
        <w:t xml:space="preserve"> sub</w:t>
      </w:r>
      <w:r w:rsidR="00D57794">
        <w:t>-</w:t>
      </w:r>
      <w:r w:rsidR="00575CDE">
        <w:t xml:space="preserve">categories are extremely indicative of </w:t>
      </w:r>
      <w:r w:rsidR="00D57794">
        <w:t xml:space="preserve">campaign </w:t>
      </w:r>
      <w:r w:rsidR="00575CDE">
        <w:t xml:space="preserve">success or failure. </w:t>
      </w:r>
      <w:r w:rsidR="00D57794">
        <w:t xml:space="preserve">Out of 41 sub-categories, 32 are either 0% success or 100% success. These subcategories share about the same number of campaigns, so it is not due to a small sample size. </w:t>
      </w:r>
    </w:p>
    <w:p w:rsidR="00F51BB2" w:rsidRPr="00F51BB2" w:rsidRDefault="00F51BB2" w:rsidP="00F51BB2"/>
    <w:p w:rsidR="00F51BB2" w:rsidRPr="00F51BB2" w:rsidRDefault="00D57794" w:rsidP="00F51BB2">
      <w:r w:rsidRPr="00D5779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F47FE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9600" cy="7715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51BB2" w:rsidRPr="00F51BB2" w:rsidRDefault="00F51BB2" w:rsidP="00F51BB2"/>
    <w:p w:rsidR="00F51BB2" w:rsidRPr="00F51BB2" w:rsidRDefault="00F51BB2" w:rsidP="00F51BB2"/>
    <w:p w:rsidR="00F51BB2" w:rsidRDefault="00D57794" w:rsidP="00D57794">
      <w:pPr>
        <w:jc w:val="center"/>
      </w:pPr>
      <w:r>
        <w:t>The average and median are measuring number of campaigns.</w:t>
      </w:r>
    </w:p>
    <w:tbl>
      <w:tblPr>
        <w:tblW w:w="3179" w:type="dxa"/>
        <w:tblLook w:val="04A0" w:firstRow="1" w:lastRow="0" w:firstColumn="1" w:lastColumn="0" w:noHBand="0" w:noVBand="1"/>
      </w:tblPr>
      <w:tblGrid>
        <w:gridCol w:w="1700"/>
        <w:gridCol w:w="1479"/>
      </w:tblGrid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100%</w:t>
            </w:r>
          </w:p>
        </w:tc>
        <w:tc>
          <w:tcPr>
            <w:tcW w:w="14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0%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Classical Music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Animation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Documentary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Art Books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Electronic Music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Audio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Hardware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Children's Books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Metal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Drama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Non-Fiction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Faith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Pop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Fiction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Radio &amp; Podcasts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Gadgets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Rock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Jazz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Shorts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Mobile Games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Tabletop Games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Nature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Television</w:t>
            </w: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People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Places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Restaurants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Science Fiction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Translations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Trucks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Video Games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Web</w:t>
            </w:r>
          </w:p>
        </w:tc>
      </w:tr>
      <w:tr w:rsidR="00D57794" w:rsidRPr="00D57794" w:rsidTr="00D57794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79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7794" w:rsidRPr="00D57794" w:rsidRDefault="00D57794" w:rsidP="00D577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57794">
              <w:rPr>
                <w:rFonts w:ascii="Calibri" w:eastAsia="Times New Roman" w:hAnsi="Calibri" w:cs="Calibri"/>
                <w:color w:val="000000"/>
              </w:rPr>
              <w:t>World Music</w:t>
            </w:r>
          </w:p>
        </w:tc>
      </w:tr>
    </w:tbl>
    <w:p w:rsidR="00D57794" w:rsidRPr="00F51BB2" w:rsidRDefault="00D57794" w:rsidP="006275EF">
      <w:pPr>
        <w:jc w:val="center"/>
      </w:pPr>
    </w:p>
    <w:p w:rsidR="00F51BB2" w:rsidRPr="006275EF" w:rsidRDefault="006275EF" w:rsidP="006275EF">
      <w:pPr>
        <w:jc w:val="center"/>
        <w:rPr>
          <w:sz w:val="40"/>
          <w:szCs w:val="40"/>
        </w:rPr>
      </w:pPr>
      <w:r>
        <w:rPr>
          <w:sz w:val="40"/>
          <w:szCs w:val="40"/>
        </w:rPr>
        <w:t>Data Set Limitations</w:t>
      </w:r>
    </w:p>
    <w:p w:rsidR="006275EF" w:rsidRPr="00F51BB2" w:rsidRDefault="006275EF" w:rsidP="00F51BB2"/>
    <w:p w:rsidR="00F51BB2" w:rsidRDefault="00610578" w:rsidP="006275EF">
      <w:pPr>
        <w:pStyle w:val="ListParagraph"/>
      </w:pPr>
      <w:r>
        <w:t>The data provided can only go so far in telling us what aspects lead to a successful campaign. The advertising and description of a campaign could be far more persuasive than another campaign and this data does not account for presentation.  There are quite a few “joke” campaigns on Kickstarter that could misrepresent the</w:t>
      </w:r>
      <w:r w:rsidR="006275EF">
        <w:t xml:space="preserve"> canceled and</w:t>
      </w:r>
      <w:r>
        <w:t xml:space="preserve"> failure categor</w:t>
      </w:r>
      <w:r w:rsidR="006275EF">
        <w:t>ies.</w:t>
      </w:r>
      <w:r>
        <w:t xml:space="preserve"> </w:t>
      </w:r>
      <w:r w:rsidR="006275EF">
        <w:t>One example is the $</w:t>
      </w:r>
      <w:r w:rsidR="006275EF" w:rsidRPr="006275EF">
        <w:t>100</w:t>
      </w:r>
      <w:r w:rsidR="006275EF">
        <w:t>,</w:t>
      </w:r>
      <w:r w:rsidR="006275EF" w:rsidRPr="006275EF">
        <w:t>000</w:t>
      </w:r>
      <w:r w:rsidR="006275EF">
        <w:t>,</w:t>
      </w:r>
      <w:r w:rsidR="006275EF" w:rsidRPr="006275EF">
        <w:t>000</w:t>
      </w:r>
      <w:r w:rsidR="006275EF">
        <w:t xml:space="preserve"> campaign for “The Time Jumper”; $0 were raised. </w:t>
      </w:r>
    </w:p>
    <w:p w:rsidR="00D57794" w:rsidRDefault="00D57794" w:rsidP="00F51BB2"/>
    <w:p w:rsidR="006275EF" w:rsidRPr="006275EF" w:rsidRDefault="006275EF" w:rsidP="006275EF">
      <w:pPr>
        <w:jc w:val="center"/>
        <w:rPr>
          <w:sz w:val="40"/>
          <w:szCs w:val="40"/>
        </w:rPr>
      </w:pPr>
      <w:r w:rsidRPr="006275EF">
        <w:rPr>
          <w:sz w:val="40"/>
          <w:szCs w:val="40"/>
        </w:rPr>
        <w:lastRenderedPageBreak/>
        <w:t>Other Possible Graphs and Tables</w:t>
      </w:r>
    </w:p>
    <w:p w:rsidR="00F51BB2" w:rsidRPr="00F51BB2" w:rsidRDefault="00F51BB2" w:rsidP="00F51BB2"/>
    <w:p w:rsidR="00F51BB2" w:rsidRPr="00F51BB2" w:rsidRDefault="006275EF" w:rsidP="00F51BB2">
      <w:r>
        <w:t xml:space="preserve">We could analyze how the length of time a project lasted affected its success rate. It’s possible more patient campaigns got their breakthrough in donations late in the process because the more donors a project has, the more legitimacy it appears </w:t>
      </w:r>
      <w:r w:rsidR="00D86E5D">
        <w:t xml:space="preserve">to have. We could also analyze how the size of donations affected campaigns. Maybe campaigns with grass roots, small support were more successful or maybe successful projects require large donations. </w:t>
      </w:r>
      <w:bookmarkStart w:id="0" w:name="_GoBack"/>
      <w:bookmarkEnd w:id="0"/>
    </w:p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/>
    <w:p w:rsidR="00F51BB2" w:rsidRPr="00F51BB2" w:rsidRDefault="00F51BB2" w:rsidP="00F51BB2"/>
    <w:p w:rsidR="00E937BD" w:rsidRPr="00F51BB2" w:rsidRDefault="00E937BD" w:rsidP="00F51BB2"/>
    <w:sectPr w:rsidR="00E937BD" w:rsidRPr="00F51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66AA2"/>
    <w:multiLevelType w:val="hybridMultilevel"/>
    <w:tmpl w:val="D512B992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 w15:restartNumberingAfterBreak="0">
    <w:nsid w:val="27E23464"/>
    <w:multiLevelType w:val="hybridMultilevel"/>
    <w:tmpl w:val="4AF85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C4D9A"/>
    <w:multiLevelType w:val="hybridMultilevel"/>
    <w:tmpl w:val="9C7492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E39CA"/>
    <w:multiLevelType w:val="hybridMultilevel"/>
    <w:tmpl w:val="84BA3B6C"/>
    <w:lvl w:ilvl="0" w:tplc="0409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173"/>
    <w:rsid w:val="002D0F37"/>
    <w:rsid w:val="00425173"/>
    <w:rsid w:val="00487428"/>
    <w:rsid w:val="00561A8E"/>
    <w:rsid w:val="00575CDE"/>
    <w:rsid w:val="00610578"/>
    <w:rsid w:val="006275EF"/>
    <w:rsid w:val="006D31A6"/>
    <w:rsid w:val="00B873BC"/>
    <w:rsid w:val="00D57794"/>
    <w:rsid w:val="00D86E5D"/>
    <w:rsid w:val="00E937BD"/>
    <w:rsid w:val="00EB1712"/>
    <w:rsid w:val="00F51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7E790"/>
  <w15:chartTrackingRefBased/>
  <w15:docId w15:val="{6EFFD80E-D21C-4BEB-955A-38653416B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712"/>
    <w:pPr>
      <w:ind w:left="720"/>
      <w:contextualSpacing/>
    </w:pPr>
  </w:style>
  <w:style w:type="table" w:styleId="TableGrid">
    <w:name w:val="Table Grid"/>
    <w:basedOn w:val="TableNormal"/>
    <w:uiPriority w:val="39"/>
    <w:rsid w:val="00D57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5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Goal</a:t>
            </a:r>
            <a:r>
              <a:rPr lang="en-US" baseline="0"/>
              <a:t> size vs. Success</a:t>
            </a:r>
            <a:endParaRPr lang="en-US"/>
          </a:p>
        </c:rich>
      </c:tx>
      <c:layout>
        <c:manualLayout>
          <c:xMode val="edge"/>
          <c:yMode val="edge"/>
          <c:x val="0.42802880409179622"/>
          <c:y val="3.663003663003663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6.6248233393902692E-2"/>
          <c:y val="0.17898351648351651"/>
          <c:w val="0.91024749310182385"/>
          <c:h val="0.39792369703787028"/>
        </c:manualLayout>
      </c:layout>
      <c:lineChart>
        <c:grouping val="standard"/>
        <c:varyColors val="0"/>
        <c:ser>
          <c:idx val="0"/>
          <c:order val="0"/>
          <c:tx>
            <c:strRef>
              <c:f>Bonus!$F$1</c:f>
              <c:strCache>
                <c:ptCount val="1"/>
                <c:pt idx="0">
                  <c:v>Percentage Succesful</c:v>
                </c:pt>
              </c:strCache>
            </c:strRef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0"/>
            <c:dispEq val="0"/>
          </c:trendline>
          <c:cat>
            <c:strRef>
              <c:f>Bonus!$A$2:$A$13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40000 to 44999</c:v>
                </c:pt>
                <c:pt idx="4">
                  <c:v>10000 to 14999</c:v>
                </c:pt>
                <c:pt idx="5">
                  <c:v>35000 to 39999</c:v>
                </c:pt>
                <c:pt idx="6">
                  <c:v>15000 to 19999</c:v>
                </c:pt>
                <c:pt idx="7">
                  <c:v>20000 to 24999</c:v>
                </c:pt>
                <c:pt idx="8">
                  <c:v>25000 to 29999</c:v>
                </c:pt>
                <c:pt idx="9">
                  <c:v>30000 to 34999</c:v>
                </c:pt>
                <c:pt idx="10">
                  <c:v>45000 to 49999</c:v>
                </c:pt>
                <c:pt idx="11">
                  <c:v>Greater than or equal to 50000</c:v>
                </c:pt>
              </c:strCache>
            </c:strRef>
          </c:cat>
          <c:val>
            <c:numRef>
              <c:f>Bonus!$F$2:$F$13</c:f>
              <c:numCache>
                <c:formatCode>0%</c:formatCode>
                <c:ptCount val="12"/>
                <c:pt idx="0">
                  <c:v>0.71081677704194257</c:v>
                </c:pt>
                <c:pt idx="1">
                  <c:v>0.66005665722379603</c:v>
                </c:pt>
                <c:pt idx="2">
                  <c:v>0.53212290502793291</c:v>
                </c:pt>
                <c:pt idx="3">
                  <c:v>0.48837209302325579</c:v>
                </c:pt>
                <c:pt idx="4">
                  <c:v>0.47727272727272729</c:v>
                </c:pt>
                <c:pt idx="5">
                  <c:v>0.47272727272727272</c:v>
                </c:pt>
                <c:pt idx="6">
                  <c:v>0.46766169154228854</c:v>
                </c:pt>
                <c:pt idx="7">
                  <c:v>0.41891891891891891</c:v>
                </c:pt>
                <c:pt idx="8">
                  <c:v>0.40145985401459855</c:v>
                </c:pt>
                <c:pt idx="9">
                  <c:v>0.3902439024390244</c:v>
                </c:pt>
                <c:pt idx="10">
                  <c:v>0.2857142857142857</c:v>
                </c:pt>
                <c:pt idx="11">
                  <c:v>0.19369369369369369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8B8-4118-A4D3-3FAC46C9A208}"/>
            </c:ext>
          </c:extLst>
        </c:ser>
        <c:ser>
          <c:idx val="1"/>
          <c:order val="1"/>
          <c:tx>
            <c:strRef>
              <c:f>Bonus!$G$1</c:f>
              <c:strCache>
                <c:ptCount val="1"/>
                <c:pt idx="0">
                  <c:v>Percentage Failed</c:v>
                </c:pt>
              </c:strCache>
            </c:strRef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9525" cap="rnd">
                <a:solidFill>
                  <a:schemeClr val="accent2"/>
                </a:solidFill>
              </a:ln>
              <a:effectLst/>
            </c:spPr>
            <c:trendlineType val="linear"/>
            <c:dispRSqr val="0"/>
            <c:dispEq val="0"/>
          </c:trendline>
          <c:cat>
            <c:strRef>
              <c:f>Bonus!$A$2:$A$13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40000 to 44999</c:v>
                </c:pt>
                <c:pt idx="4">
                  <c:v>10000 to 14999</c:v>
                </c:pt>
                <c:pt idx="5">
                  <c:v>35000 to 39999</c:v>
                </c:pt>
                <c:pt idx="6">
                  <c:v>15000 to 19999</c:v>
                </c:pt>
                <c:pt idx="7">
                  <c:v>20000 to 24999</c:v>
                </c:pt>
                <c:pt idx="8">
                  <c:v>25000 to 29999</c:v>
                </c:pt>
                <c:pt idx="9">
                  <c:v>30000 to 34999</c:v>
                </c:pt>
                <c:pt idx="10">
                  <c:v>45000 to 49999</c:v>
                </c:pt>
                <c:pt idx="11">
                  <c:v>Greater than or equal to 50000</c:v>
                </c:pt>
              </c:strCache>
            </c:strRef>
          </c:cat>
          <c:val>
            <c:numRef>
              <c:f>Bonus!$G$2:$G$13</c:f>
              <c:numCache>
                <c:formatCode>0%</c:formatCode>
                <c:ptCount val="12"/>
                <c:pt idx="0">
                  <c:v>0.24944812362030905</c:v>
                </c:pt>
                <c:pt idx="1">
                  <c:v>0.29745042492917845</c:v>
                </c:pt>
                <c:pt idx="2">
                  <c:v>0.39525139664804471</c:v>
                </c:pt>
                <c:pt idx="3">
                  <c:v>0.37209302325581395</c:v>
                </c:pt>
                <c:pt idx="4">
                  <c:v>0.40909090909090912</c:v>
                </c:pt>
                <c:pt idx="5">
                  <c:v>0.4</c:v>
                </c:pt>
                <c:pt idx="6">
                  <c:v>0.44776119402985076</c:v>
                </c:pt>
                <c:pt idx="7">
                  <c:v>0.48648648648648651</c:v>
                </c:pt>
                <c:pt idx="8">
                  <c:v>0.46715328467153283</c:v>
                </c:pt>
                <c:pt idx="9">
                  <c:v>0.45121951219512196</c:v>
                </c:pt>
                <c:pt idx="10">
                  <c:v>0.52380952380952384</c:v>
                </c:pt>
                <c:pt idx="11">
                  <c:v>0.58108108108108103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8B8-4118-A4D3-3FAC46C9A208}"/>
            </c:ext>
          </c:extLst>
        </c:ser>
        <c:ser>
          <c:idx val="2"/>
          <c:order val="2"/>
          <c:tx>
            <c:v>Percentage Canceled</c:v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trendline>
            <c:spPr>
              <a:ln w="9525" cap="rnd">
                <a:solidFill>
                  <a:schemeClr val="accent3"/>
                </a:solidFill>
              </a:ln>
              <a:effectLst/>
            </c:spPr>
            <c:trendlineType val="linear"/>
            <c:dispRSqr val="0"/>
            <c:dispEq val="0"/>
          </c:trendline>
          <c:cat>
            <c:strRef>
              <c:f>Bonus!$A$2:$A$13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40000 to 44999</c:v>
                </c:pt>
                <c:pt idx="4">
                  <c:v>10000 to 14999</c:v>
                </c:pt>
                <c:pt idx="5">
                  <c:v>35000 to 39999</c:v>
                </c:pt>
                <c:pt idx="6">
                  <c:v>15000 to 19999</c:v>
                </c:pt>
                <c:pt idx="7">
                  <c:v>20000 to 24999</c:v>
                </c:pt>
                <c:pt idx="8">
                  <c:v>25000 to 29999</c:v>
                </c:pt>
                <c:pt idx="9">
                  <c:v>30000 to 34999</c:v>
                </c:pt>
                <c:pt idx="10">
                  <c:v>45000 to 49999</c:v>
                </c:pt>
                <c:pt idx="11">
                  <c:v>Greater than or equal to 50000</c:v>
                </c:pt>
              </c:strCache>
            </c:strRef>
          </c:cat>
          <c:val>
            <c:numRef>
              <c:f>Bonus!$H$2:$H$13</c:f>
              <c:numCache>
                <c:formatCode>0%</c:formatCode>
                <c:ptCount val="12"/>
                <c:pt idx="0">
                  <c:v>3.9735099337748346E-2</c:v>
                </c:pt>
                <c:pt idx="1">
                  <c:v>4.2492917847025496E-2</c:v>
                </c:pt>
                <c:pt idx="2">
                  <c:v>7.2625698324022353E-2</c:v>
                </c:pt>
                <c:pt idx="3">
                  <c:v>0.13953488372093023</c:v>
                </c:pt>
                <c:pt idx="4">
                  <c:v>0.11363636363636363</c:v>
                </c:pt>
                <c:pt idx="5">
                  <c:v>0.12727272727272726</c:v>
                </c:pt>
                <c:pt idx="6">
                  <c:v>8.45771144278607E-2</c:v>
                </c:pt>
                <c:pt idx="7">
                  <c:v>9.45945945945946E-2</c:v>
                </c:pt>
                <c:pt idx="8">
                  <c:v>0.13138686131386862</c:v>
                </c:pt>
                <c:pt idx="9">
                  <c:v>0.15853658536585366</c:v>
                </c:pt>
                <c:pt idx="10">
                  <c:v>0.19047619047619047</c:v>
                </c:pt>
                <c:pt idx="11">
                  <c:v>0.22522522522522523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8B8-4118-A4D3-3FAC46C9A2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549029512"/>
        <c:axId val="549031480"/>
      </c:lineChart>
      <c:catAx>
        <c:axId val="5490295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9031480"/>
        <c:crosses val="autoZero"/>
        <c:auto val="1"/>
        <c:lblAlgn val="ctr"/>
        <c:lblOffset val="100"/>
        <c:noMultiLvlLbl val="0"/>
      </c:catAx>
      <c:valAx>
        <c:axId val="549031480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902951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Huis in 't Veld</dc:creator>
  <cp:keywords/>
  <dc:description/>
  <cp:lastModifiedBy>Trevor Huis in 't Veld</cp:lastModifiedBy>
  <cp:revision>2</cp:revision>
  <dcterms:created xsi:type="dcterms:W3CDTF">2018-01-20T18:10:00Z</dcterms:created>
  <dcterms:modified xsi:type="dcterms:W3CDTF">2018-01-20T18:10:00Z</dcterms:modified>
</cp:coreProperties>
</file>