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31C5" w14:textId="72DF514A" w:rsidR="00041947" w:rsidRPr="008242E7" w:rsidRDefault="00041947" w:rsidP="005B50BD">
      <w:pPr>
        <w:rPr>
          <w:b/>
        </w:rPr>
      </w:pPr>
      <w:r w:rsidRPr="008242E7">
        <w:rPr>
          <w:b/>
        </w:rPr>
        <w:t>Attention:  Below includes some supporting information and suggestions for your final project.  You are encouraged to explore further on your own.</w:t>
      </w:r>
    </w:p>
    <w:p w14:paraId="05317820" w14:textId="77777777" w:rsidR="003720EF" w:rsidRPr="008242E7" w:rsidRDefault="003720EF">
      <w:pPr>
        <w:rPr>
          <w:b/>
          <w:bCs/>
        </w:rPr>
      </w:pPr>
    </w:p>
    <w:p w14:paraId="231BAB15" w14:textId="77777777" w:rsidR="007A315C" w:rsidRPr="007A315C" w:rsidRDefault="007A315C" w:rsidP="007A315C">
      <w:pPr>
        <w:rPr>
          <w:b/>
          <w:bCs/>
          <w:lang w:val="en-US"/>
        </w:rPr>
      </w:pPr>
      <w:r w:rsidRPr="007A315C">
        <w:rPr>
          <w:b/>
          <w:bCs/>
          <w:lang w:val="en-US"/>
        </w:rPr>
        <w:t>Motivations:</w:t>
      </w:r>
    </w:p>
    <w:p w14:paraId="777F12C7" w14:textId="77777777" w:rsidR="007A315C" w:rsidRPr="007A315C" w:rsidRDefault="007A315C" w:rsidP="007A315C">
      <w:pPr>
        <w:numPr>
          <w:ilvl w:val="0"/>
          <w:numId w:val="37"/>
        </w:numPr>
        <w:rPr>
          <w:lang w:val="en-US"/>
        </w:rPr>
      </w:pPr>
      <w:r w:rsidRPr="007A315C">
        <w:rPr>
          <w:b/>
          <w:bCs/>
          <w:lang w:val="en-US"/>
        </w:rPr>
        <w:t>2011 Medicare Prospective Payment System (PPS) Reform:</w:t>
      </w:r>
      <w:r w:rsidRPr="007A315C">
        <w:rPr>
          <w:lang w:val="en-US"/>
        </w:rPr>
        <w:t xml:space="preserve"> The reform introduced new incentives for healthcare providers to make Peritoneal Dialysis (PD) more widely available to patients with end-stage renal disease (ESRD).</w:t>
      </w:r>
    </w:p>
    <w:p w14:paraId="61004770" w14:textId="77777777" w:rsidR="007A315C" w:rsidRPr="007A315C" w:rsidRDefault="007A315C" w:rsidP="007A315C">
      <w:pPr>
        <w:numPr>
          <w:ilvl w:val="0"/>
          <w:numId w:val="37"/>
        </w:numPr>
        <w:rPr>
          <w:lang w:val="en-US"/>
        </w:rPr>
      </w:pPr>
      <w:r w:rsidRPr="007A315C">
        <w:rPr>
          <w:b/>
          <w:bCs/>
          <w:lang w:val="en-US"/>
        </w:rPr>
        <w:t>Advantages of Peritoneal Dialysis (PD):</w:t>
      </w:r>
      <w:r w:rsidRPr="007A315C">
        <w:rPr>
          <w:lang w:val="en-US"/>
        </w:rPr>
        <w:t xml:space="preserve"> Unlike the more commonly used hemodialysis (HD), PD does not require patients to visit a dialysis center three times a week. Instead, patients can perform dialysis either overnight or continuously throughout the day, offering greater flexibility in scheduling and improving their overall quality of life.</w:t>
      </w:r>
    </w:p>
    <w:p w14:paraId="62C18A4C" w14:textId="77777777" w:rsidR="007A315C" w:rsidRPr="007A315C" w:rsidRDefault="007A315C" w:rsidP="007A315C">
      <w:pPr>
        <w:numPr>
          <w:ilvl w:val="0"/>
          <w:numId w:val="37"/>
        </w:numPr>
        <w:rPr>
          <w:lang w:val="en-US"/>
        </w:rPr>
      </w:pPr>
      <w:r w:rsidRPr="007A315C">
        <w:rPr>
          <w:b/>
          <w:bCs/>
          <w:lang w:val="en-US"/>
        </w:rPr>
        <w:t>Previous Research:</w:t>
      </w:r>
      <w:r w:rsidRPr="007A315C">
        <w:rPr>
          <w:lang w:val="en-US"/>
        </w:rPr>
        <w:t xml:space="preserve"> Studies (citation XX) have shown that the use of PD increased following the PPS reform. However, these studies have not addressed whether the demographic changes in the PD user population after the reform are linked to different health outcomes.</w:t>
      </w:r>
    </w:p>
    <w:p w14:paraId="35E3740E" w14:textId="2EE15F52" w:rsidR="007A315C" w:rsidRPr="007A315C" w:rsidRDefault="007A315C" w:rsidP="007A315C">
      <w:pPr>
        <w:numPr>
          <w:ilvl w:val="0"/>
          <w:numId w:val="37"/>
        </w:numPr>
        <w:rPr>
          <w:lang w:val="en-US"/>
        </w:rPr>
      </w:pPr>
      <w:r w:rsidRPr="007A315C">
        <w:rPr>
          <w:b/>
          <w:bCs/>
          <w:lang w:val="en-US"/>
        </w:rPr>
        <w:t>Study Objective:</w:t>
      </w:r>
      <w:r w:rsidRPr="007A315C">
        <w:rPr>
          <w:lang w:val="en-US"/>
        </w:rPr>
        <w:t xml:space="preserve"> This study aims to bridge that gap by </w:t>
      </w:r>
      <w:r w:rsidRPr="008242E7">
        <w:rPr>
          <w:lang w:val="en-US"/>
        </w:rPr>
        <w:t>providing</w:t>
      </w:r>
      <w:r w:rsidRPr="007A315C">
        <w:rPr>
          <w:lang w:val="en-US"/>
        </w:rPr>
        <w:t xml:space="preserve"> scientific and statistical evidence using data from the United States Renal Data System (USRDS).</w:t>
      </w:r>
    </w:p>
    <w:p w14:paraId="71E80CE2" w14:textId="77777777" w:rsidR="007A315C" w:rsidRPr="007A315C" w:rsidRDefault="007A315C" w:rsidP="007A315C">
      <w:pPr>
        <w:numPr>
          <w:ilvl w:val="0"/>
          <w:numId w:val="37"/>
        </w:numPr>
        <w:rPr>
          <w:lang w:val="en-US"/>
        </w:rPr>
      </w:pPr>
      <w:r w:rsidRPr="007A315C">
        <w:rPr>
          <w:b/>
          <w:bCs/>
          <w:lang w:val="en-US"/>
        </w:rPr>
        <w:t>Research Focus:</w:t>
      </w:r>
    </w:p>
    <w:p w14:paraId="6E432519" w14:textId="77777777" w:rsidR="007A315C" w:rsidRPr="007A315C" w:rsidRDefault="007A315C" w:rsidP="007A315C">
      <w:pPr>
        <w:numPr>
          <w:ilvl w:val="1"/>
          <w:numId w:val="37"/>
        </w:numPr>
        <w:rPr>
          <w:lang w:val="en-US"/>
        </w:rPr>
      </w:pPr>
      <w:r w:rsidRPr="007A315C">
        <w:rPr>
          <w:lang w:val="en-US"/>
        </w:rPr>
        <w:t>Compare mortality rates in two cohorts of incident ESRD patients before and after the PPS reform.</w:t>
      </w:r>
    </w:p>
    <w:p w14:paraId="20F3189C" w14:textId="77777777" w:rsidR="007A315C" w:rsidRPr="007A315C" w:rsidRDefault="007A315C" w:rsidP="007A315C">
      <w:pPr>
        <w:numPr>
          <w:ilvl w:val="1"/>
          <w:numId w:val="37"/>
        </w:numPr>
        <w:rPr>
          <w:lang w:val="en-US"/>
        </w:rPr>
      </w:pPr>
      <w:r w:rsidRPr="007A315C">
        <w:rPr>
          <w:lang w:val="en-US"/>
        </w:rPr>
        <w:t>Examine trends in the adoption of different dialysis modalities and explore any interactions between these modalities before and after the reform.</w:t>
      </w:r>
    </w:p>
    <w:p w14:paraId="2903DB23" w14:textId="77777777" w:rsidR="007A315C" w:rsidRPr="007A315C" w:rsidRDefault="007A315C" w:rsidP="007A315C">
      <w:pPr>
        <w:numPr>
          <w:ilvl w:val="0"/>
          <w:numId w:val="37"/>
        </w:numPr>
        <w:rPr>
          <w:lang w:val="en-US"/>
        </w:rPr>
      </w:pPr>
      <w:r w:rsidRPr="007A315C">
        <w:rPr>
          <w:b/>
          <w:bCs/>
          <w:lang w:val="en-US"/>
        </w:rPr>
        <w:t>Bonus (Extra Credit, 10%):</w:t>
      </w:r>
    </w:p>
    <w:p w14:paraId="13FA859D" w14:textId="77777777" w:rsidR="007A315C" w:rsidRPr="007A315C" w:rsidRDefault="007A315C" w:rsidP="007A315C">
      <w:pPr>
        <w:numPr>
          <w:ilvl w:val="1"/>
          <w:numId w:val="37"/>
        </w:numPr>
        <w:rPr>
          <w:lang w:val="en-US"/>
        </w:rPr>
      </w:pPr>
      <w:r w:rsidRPr="007A315C">
        <w:rPr>
          <w:lang w:val="en-US"/>
        </w:rPr>
        <w:t>Apply a Cox Proportional Hazards Model to calculate hazard ratios for these two cohorts.</w:t>
      </w:r>
    </w:p>
    <w:p w14:paraId="50071BA3" w14:textId="77777777" w:rsidR="007A315C" w:rsidRPr="008242E7" w:rsidRDefault="007A315C"/>
    <w:p w14:paraId="55DA1933" w14:textId="43F0A87E" w:rsidR="003720EF" w:rsidRPr="008242E7" w:rsidRDefault="00D76087" w:rsidP="00BA4CF6">
      <w:pPr>
        <w:pStyle w:val="ListParagraph"/>
        <w:numPr>
          <w:ilvl w:val="0"/>
          <w:numId w:val="13"/>
        </w:numPr>
        <w:jc w:val="center"/>
        <w:rPr>
          <w:b/>
        </w:rPr>
      </w:pPr>
      <w:r w:rsidRPr="008242E7">
        <w:rPr>
          <w:b/>
        </w:rPr>
        <w:t>INTRODUCTION</w:t>
      </w:r>
    </w:p>
    <w:p w14:paraId="50166843" w14:textId="77777777" w:rsidR="007A315C" w:rsidRPr="007A315C" w:rsidRDefault="007A315C" w:rsidP="007A315C">
      <w:pPr>
        <w:ind w:firstLine="360"/>
        <w:rPr>
          <w:b/>
          <w:bCs/>
          <w:lang w:val="en-US"/>
        </w:rPr>
      </w:pPr>
      <w:r w:rsidRPr="007A315C">
        <w:rPr>
          <w:b/>
          <w:bCs/>
          <w:lang w:val="en-US"/>
        </w:rPr>
        <w:t>Supporting Resources:</w:t>
      </w:r>
    </w:p>
    <w:p w14:paraId="06AAB540" w14:textId="77777777" w:rsidR="007A315C" w:rsidRPr="007A315C" w:rsidRDefault="007A315C" w:rsidP="007A315C">
      <w:pPr>
        <w:numPr>
          <w:ilvl w:val="0"/>
          <w:numId w:val="39"/>
        </w:numPr>
        <w:rPr>
          <w:lang w:val="en-US"/>
        </w:rPr>
      </w:pPr>
      <w:r w:rsidRPr="007A315C">
        <w:rPr>
          <w:b/>
          <w:bCs/>
          <w:lang w:val="en-US"/>
        </w:rPr>
        <w:t>Peritoneal Dialysis (PD) as an Alternative Treatment:</w:t>
      </w:r>
      <w:r w:rsidRPr="007A315C">
        <w:rPr>
          <w:b/>
          <w:bCs/>
          <w:lang w:val="en-US"/>
        </w:rPr>
        <w:br/>
      </w:r>
      <w:r w:rsidRPr="007A315C">
        <w:rPr>
          <w:lang w:val="en-US"/>
        </w:rPr>
        <w:t>Peritoneal dialysis (PD) is an alternative treatment for patients with end-stage renal disease (ESRD). PD offers potential advantages in terms of improved quality of life and greater independence, while typically yielding similar clinical outcomes compared to in-center hemodialysis (HD) (Citations XX).</w:t>
      </w:r>
    </w:p>
    <w:p w14:paraId="5DF802BC" w14:textId="77777777" w:rsidR="007A315C" w:rsidRPr="007A315C" w:rsidRDefault="007A315C" w:rsidP="007A315C">
      <w:pPr>
        <w:numPr>
          <w:ilvl w:val="0"/>
          <w:numId w:val="39"/>
        </w:numPr>
        <w:rPr>
          <w:lang w:val="en-US"/>
        </w:rPr>
      </w:pPr>
      <w:r w:rsidRPr="007A315C">
        <w:rPr>
          <w:b/>
          <w:bCs/>
          <w:lang w:val="en-US"/>
        </w:rPr>
        <w:t>How PD Works:</w:t>
      </w:r>
      <w:r w:rsidRPr="007A315C">
        <w:rPr>
          <w:lang w:val="en-US"/>
        </w:rPr>
        <w:br/>
        <w:t>While traditional, in-center HD requires patients to visit a dialysis facility three times a week for blood filtration, PD enables patients to perform dialysis at home. After a catheter is surgically inserted into the abdomen, waste is filtered through the abdominal lining. Continuous Ambulatory PD (CAPD) involves inserting cleansing fluid into the abdomen for continuous filtration throughout the day. Automated PD (APD), typically done overnight, is performed with the help of a machine connected to the catheter (Citations XX).</w:t>
      </w:r>
    </w:p>
    <w:p w14:paraId="0E8DBFC4" w14:textId="77777777" w:rsidR="007A315C" w:rsidRPr="007A315C" w:rsidRDefault="007A315C" w:rsidP="007A315C">
      <w:pPr>
        <w:numPr>
          <w:ilvl w:val="0"/>
          <w:numId w:val="39"/>
        </w:numPr>
        <w:rPr>
          <w:lang w:val="en-US"/>
        </w:rPr>
      </w:pPr>
      <w:r w:rsidRPr="007A315C">
        <w:rPr>
          <w:b/>
          <w:bCs/>
          <w:lang w:val="en-US"/>
        </w:rPr>
        <w:t>PD Use in the U.S.:</w:t>
      </w:r>
      <w:r w:rsidRPr="007A315C">
        <w:rPr>
          <w:b/>
          <w:bCs/>
          <w:lang w:val="en-US"/>
        </w:rPr>
        <w:br/>
      </w:r>
      <w:r w:rsidRPr="007A315C">
        <w:rPr>
          <w:lang w:val="en-US"/>
        </w:rPr>
        <w:t xml:space="preserve">Despite its advantages, the use of PD in the United States has </w:t>
      </w:r>
      <w:proofErr w:type="gramStart"/>
      <w:r w:rsidRPr="007A315C">
        <w:rPr>
          <w:lang w:val="en-US"/>
        </w:rPr>
        <w:t>lagged behind</w:t>
      </w:r>
      <w:proofErr w:type="gramEnd"/>
      <w:r w:rsidRPr="007A315C">
        <w:rPr>
          <w:lang w:val="en-US"/>
        </w:rPr>
        <w:t xml:space="preserve"> other countries with similar healthcare infrastructure, and its use was even declining prior to 2011 (Citations XX).</w:t>
      </w:r>
    </w:p>
    <w:p w14:paraId="6F027108" w14:textId="77777777" w:rsidR="007A315C" w:rsidRPr="007A315C" w:rsidRDefault="007A315C" w:rsidP="007A315C">
      <w:pPr>
        <w:numPr>
          <w:ilvl w:val="0"/>
          <w:numId w:val="39"/>
        </w:numPr>
        <w:rPr>
          <w:lang w:val="en-US"/>
        </w:rPr>
      </w:pPr>
      <w:r w:rsidRPr="007A315C">
        <w:rPr>
          <w:b/>
          <w:bCs/>
          <w:lang w:val="en-US"/>
        </w:rPr>
        <w:t>Impact of the 2011 PPS Reform:</w:t>
      </w:r>
      <w:r w:rsidRPr="007A315C">
        <w:rPr>
          <w:lang w:val="en-US"/>
        </w:rPr>
        <w:br/>
        <w:t>In 2011, this trend began to reverse following the introduction of a new Prospective Payment System (PPS) as part of Medicare reform (Citations XX). The PPS implemented a bundled payment system, where all costs associated with a dialysis session were combined into one fixed price. This price was set equally across all dialysis modalities, including both PD and HD (Citations XX).</w:t>
      </w:r>
    </w:p>
    <w:p w14:paraId="4BB72DE7" w14:textId="77777777" w:rsidR="007A315C" w:rsidRPr="007A315C" w:rsidRDefault="007A315C" w:rsidP="007A315C">
      <w:pPr>
        <w:numPr>
          <w:ilvl w:val="0"/>
          <w:numId w:val="39"/>
        </w:numPr>
        <w:rPr>
          <w:lang w:val="en-US"/>
        </w:rPr>
      </w:pPr>
      <w:r w:rsidRPr="007A315C">
        <w:rPr>
          <w:b/>
          <w:bCs/>
          <w:lang w:val="en-US"/>
        </w:rPr>
        <w:t>Financial Incentives Under the PPS Reform:</w:t>
      </w:r>
      <w:r w:rsidRPr="007A315C">
        <w:rPr>
          <w:lang w:val="en-US"/>
        </w:rPr>
        <w:br/>
        <w:t>The overhead costs of PD are lower than those of HD, and as a result, providers can make a higher profit from offering PD under the new PPS structure compared to HD (Citations XX).</w:t>
      </w:r>
    </w:p>
    <w:p w14:paraId="4D68C345" w14:textId="77777777" w:rsidR="007A315C" w:rsidRPr="007A315C" w:rsidRDefault="007A315C" w:rsidP="007A315C">
      <w:pPr>
        <w:numPr>
          <w:ilvl w:val="0"/>
          <w:numId w:val="39"/>
        </w:numPr>
        <w:rPr>
          <w:lang w:val="en-US"/>
        </w:rPr>
      </w:pPr>
      <w:r w:rsidRPr="007A315C">
        <w:rPr>
          <w:b/>
          <w:bCs/>
          <w:lang w:val="en-US"/>
        </w:rPr>
        <w:t>Impact on PD Availability and Uptake:</w:t>
      </w:r>
      <w:r w:rsidRPr="007A315C">
        <w:rPr>
          <w:b/>
          <w:bCs/>
          <w:lang w:val="en-US"/>
        </w:rPr>
        <w:br/>
      </w:r>
      <w:r w:rsidRPr="007A315C">
        <w:rPr>
          <w:lang w:val="en-US"/>
        </w:rPr>
        <w:t>Initial analyses of the PPS reform indicate that it successfully increased both the availability and uptake of PD (Citations XX). In 2006, only 36% of dialysis facilities in the U.S. offered PD, and this figure rose to 38% by 2010, reaching 42% by 2013 (Citations XX).</w:t>
      </w:r>
    </w:p>
    <w:p w14:paraId="47180B6D" w14:textId="77777777" w:rsidR="007A315C" w:rsidRPr="007A315C" w:rsidRDefault="007A315C" w:rsidP="007A315C">
      <w:pPr>
        <w:numPr>
          <w:ilvl w:val="0"/>
          <w:numId w:val="39"/>
        </w:numPr>
        <w:rPr>
          <w:lang w:val="en-US"/>
        </w:rPr>
      </w:pPr>
      <w:r w:rsidRPr="007A315C">
        <w:rPr>
          <w:b/>
          <w:bCs/>
          <w:lang w:val="en-US"/>
        </w:rPr>
        <w:t>Growth of PD Programs in Nonurban Areas:</w:t>
      </w:r>
      <w:r w:rsidRPr="007A315C">
        <w:rPr>
          <w:lang w:val="en-US"/>
        </w:rPr>
        <w:br/>
        <w:t>The initial increase in PD availability was concentrated primarily in nonurban facilities, which had more capacity to expand compared to urban facilities (Citations XX).</w:t>
      </w:r>
    </w:p>
    <w:p w14:paraId="007B3AE1" w14:textId="77777777" w:rsidR="007A315C" w:rsidRPr="007A315C" w:rsidRDefault="007A315C" w:rsidP="007A315C">
      <w:pPr>
        <w:numPr>
          <w:ilvl w:val="0"/>
          <w:numId w:val="39"/>
        </w:numPr>
        <w:rPr>
          <w:lang w:val="en-US"/>
        </w:rPr>
      </w:pPr>
      <w:r w:rsidRPr="007A315C">
        <w:rPr>
          <w:b/>
          <w:bCs/>
          <w:lang w:val="en-US"/>
        </w:rPr>
        <w:t>Uptake Among Medicare Beneficiaries:</w:t>
      </w:r>
      <w:r w:rsidRPr="007A315C">
        <w:rPr>
          <w:b/>
          <w:bCs/>
          <w:lang w:val="en-US"/>
        </w:rPr>
        <w:br/>
      </w:r>
      <w:r w:rsidRPr="007A315C">
        <w:rPr>
          <w:lang w:val="en-US"/>
        </w:rPr>
        <w:t>Uptake of PD among Medicare beneficiaries also increased during this period. One study found that, after the reform, patients were more likely to start on PD or switch to PD from HD, while the rate of modality switches away from PD to HD decreased (Citations XX). Another study found that the increase in PD usage was consistent across different racial/ethnic groups, age groups, and both rural and urban areas (Citations XX).</w:t>
      </w:r>
    </w:p>
    <w:p w14:paraId="30F8E306" w14:textId="77777777" w:rsidR="007A315C" w:rsidRPr="008242E7" w:rsidRDefault="007A315C" w:rsidP="007A315C"/>
    <w:p w14:paraId="6E7142D6" w14:textId="77777777" w:rsidR="0017175B" w:rsidRPr="008242E7" w:rsidRDefault="0017175B" w:rsidP="007A315C">
      <w:pPr>
        <w:pStyle w:val="ListParagraph"/>
      </w:pPr>
    </w:p>
    <w:p w14:paraId="63C60D4C" w14:textId="23683685" w:rsidR="003720EF" w:rsidRPr="008242E7" w:rsidRDefault="00D76087" w:rsidP="00912937">
      <w:pPr>
        <w:pStyle w:val="ListParagraph"/>
        <w:numPr>
          <w:ilvl w:val="0"/>
          <w:numId w:val="13"/>
        </w:numPr>
        <w:jc w:val="center"/>
        <w:rPr>
          <w:b/>
        </w:rPr>
      </w:pPr>
      <w:r w:rsidRPr="008242E7">
        <w:rPr>
          <w:b/>
        </w:rPr>
        <w:t>STUDY BACKGROUND</w:t>
      </w:r>
    </w:p>
    <w:p w14:paraId="4971C8B2" w14:textId="77777777" w:rsidR="007A315C" w:rsidRPr="007A315C" w:rsidRDefault="007A315C" w:rsidP="007A315C">
      <w:pPr>
        <w:rPr>
          <w:b/>
          <w:bCs/>
          <w:lang w:val="en-US"/>
        </w:rPr>
      </w:pPr>
      <w:r w:rsidRPr="007A315C">
        <w:rPr>
          <w:b/>
          <w:bCs/>
          <w:lang w:val="en-US"/>
        </w:rPr>
        <w:t>Supporting Resources:</w:t>
      </w:r>
    </w:p>
    <w:p w14:paraId="2D2D26F0" w14:textId="77777777" w:rsidR="007A315C" w:rsidRPr="007A315C" w:rsidRDefault="007A315C" w:rsidP="007A315C">
      <w:pPr>
        <w:numPr>
          <w:ilvl w:val="0"/>
          <w:numId w:val="40"/>
        </w:numPr>
        <w:rPr>
          <w:bCs/>
          <w:lang w:val="en-US"/>
        </w:rPr>
      </w:pPr>
      <w:r w:rsidRPr="007A315C">
        <w:rPr>
          <w:b/>
          <w:bCs/>
          <w:lang w:val="en-US"/>
        </w:rPr>
        <w:t>Comparing PD and HD:</w:t>
      </w:r>
      <w:r w:rsidRPr="007A315C">
        <w:rPr>
          <w:bCs/>
          <w:lang w:val="en-US"/>
        </w:rPr>
        <w:br/>
        <w:t>Numerous studies have outlined the potential advantages and disadvantages of Peritoneal Dialysis (PD) compared to Hemodialysis (HD) (Citations XX).</w:t>
      </w:r>
    </w:p>
    <w:p w14:paraId="383B8999" w14:textId="77777777" w:rsidR="007A315C" w:rsidRPr="007A315C" w:rsidRDefault="007A315C" w:rsidP="007A315C">
      <w:pPr>
        <w:numPr>
          <w:ilvl w:val="0"/>
          <w:numId w:val="40"/>
        </w:numPr>
        <w:rPr>
          <w:bCs/>
          <w:lang w:val="en-US"/>
        </w:rPr>
      </w:pPr>
      <w:r w:rsidRPr="007A315C">
        <w:rPr>
          <w:b/>
          <w:bCs/>
          <w:lang w:val="en-US"/>
        </w:rPr>
        <w:t>Quality of Life and Independence:</w:t>
      </w:r>
      <w:r w:rsidRPr="007A315C">
        <w:rPr>
          <w:bCs/>
          <w:lang w:val="en-US"/>
        </w:rPr>
        <w:br/>
        <w:t>Patients on PD often report a higher quality of life compared to those on HD. They experience greater independence, less disruption to their daily routines, and an increased ability to return to or maintain employment (Citations XX).</w:t>
      </w:r>
    </w:p>
    <w:p w14:paraId="5F1A8633" w14:textId="77777777" w:rsidR="007A315C" w:rsidRPr="007A315C" w:rsidRDefault="007A315C" w:rsidP="007A315C">
      <w:pPr>
        <w:numPr>
          <w:ilvl w:val="0"/>
          <w:numId w:val="40"/>
        </w:numPr>
        <w:rPr>
          <w:bCs/>
          <w:lang w:val="en-US"/>
        </w:rPr>
      </w:pPr>
      <w:r w:rsidRPr="007A315C">
        <w:rPr>
          <w:b/>
          <w:bCs/>
          <w:lang w:val="en-US"/>
        </w:rPr>
        <w:t>Flexibility of PD:</w:t>
      </w:r>
      <w:r w:rsidRPr="007A315C">
        <w:rPr>
          <w:bCs/>
          <w:lang w:val="en-US"/>
        </w:rPr>
        <w:br/>
        <w:t>Unlike in-center HD, which requires patients to travel to a facility three times a week, PD offers greater flexibility. PD can be performed at home, either continuously throughout the day or overnight while the patient sleeps (Citations XX).</w:t>
      </w:r>
    </w:p>
    <w:p w14:paraId="179B47A5" w14:textId="77777777" w:rsidR="007A315C" w:rsidRPr="007A315C" w:rsidRDefault="007A315C" w:rsidP="007A315C">
      <w:pPr>
        <w:numPr>
          <w:ilvl w:val="0"/>
          <w:numId w:val="40"/>
        </w:numPr>
        <w:rPr>
          <w:bCs/>
          <w:lang w:val="en-US"/>
        </w:rPr>
      </w:pPr>
      <w:r w:rsidRPr="007A315C">
        <w:rPr>
          <w:b/>
          <w:bCs/>
          <w:lang w:val="en-US"/>
        </w:rPr>
        <w:t>Cost-Effectiveness and Health Benefits:</w:t>
      </w:r>
      <w:r w:rsidRPr="007A315C">
        <w:rPr>
          <w:bCs/>
          <w:lang w:val="en-US"/>
        </w:rPr>
        <w:br/>
        <w:t>PD has been associated with higher cost-effectiveness, a reduced risk of hospital-acquired infections, and better preservation of residual kidney function compared to HD (Citations XX).</w:t>
      </w:r>
    </w:p>
    <w:p w14:paraId="3B1834BF" w14:textId="77777777" w:rsidR="007A315C" w:rsidRPr="007A315C" w:rsidRDefault="007A315C" w:rsidP="007A315C">
      <w:pPr>
        <w:numPr>
          <w:ilvl w:val="0"/>
          <w:numId w:val="40"/>
        </w:numPr>
        <w:rPr>
          <w:bCs/>
          <w:lang w:val="en-US"/>
        </w:rPr>
      </w:pPr>
      <w:r w:rsidRPr="007A315C">
        <w:rPr>
          <w:b/>
          <w:bCs/>
          <w:lang w:val="en-US"/>
        </w:rPr>
        <w:t>Challenges of PD:</w:t>
      </w:r>
      <w:r w:rsidRPr="007A315C">
        <w:rPr>
          <w:bCs/>
          <w:lang w:val="en-US"/>
        </w:rPr>
        <w:br/>
        <w:t>Despite its advantages, PD has some drawbacks, including the need for a catheter, potential sleep disturbances, changes in daily routine, and a sensation of bloating due to the dialysis fluid (Citations XX).</w:t>
      </w:r>
    </w:p>
    <w:p w14:paraId="2AAC58E2" w14:textId="77777777" w:rsidR="007A315C" w:rsidRPr="007A315C" w:rsidRDefault="007A315C" w:rsidP="007A315C">
      <w:pPr>
        <w:numPr>
          <w:ilvl w:val="0"/>
          <w:numId w:val="40"/>
        </w:numPr>
        <w:rPr>
          <w:bCs/>
          <w:lang w:val="en-US"/>
        </w:rPr>
      </w:pPr>
      <w:r w:rsidRPr="007A315C">
        <w:rPr>
          <w:b/>
          <w:bCs/>
          <w:lang w:val="en-US"/>
        </w:rPr>
        <w:t>Improvements in PD Outcomes:</w:t>
      </w:r>
      <w:r w:rsidRPr="007A315C">
        <w:rPr>
          <w:bCs/>
          <w:lang w:val="en-US"/>
        </w:rPr>
        <w:br/>
        <w:t>Early PD outcomes were less favorable compared to HD, but improvements in PD techniques and patient management have led to better outcomes in recent years (Citations XX).</w:t>
      </w:r>
    </w:p>
    <w:p w14:paraId="30DA933F" w14:textId="77777777" w:rsidR="007A315C" w:rsidRPr="007A315C" w:rsidRDefault="007A315C" w:rsidP="007A315C">
      <w:pPr>
        <w:numPr>
          <w:ilvl w:val="0"/>
          <w:numId w:val="40"/>
        </w:numPr>
        <w:rPr>
          <w:bCs/>
          <w:lang w:val="en-US"/>
        </w:rPr>
      </w:pPr>
      <w:r w:rsidRPr="007A315C">
        <w:rPr>
          <w:b/>
          <w:bCs/>
          <w:lang w:val="en-US"/>
        </w:rPr>
        <w:t>Mortality Rates and PD vs. HD:</w:t>
      </w:r>
      <w:r w:rsidRPr="007A315C">
        <w:rPr>
          <w:bCs/>
          <w:lang w:val="en-US"/>
        </w:rPr>
        <w:br/>
        <w:t>Some recent studies have found no significant difference in mortality rates between PD and HD patients (Citations XX). However, other studies have identified differences in outcomes, particularly in the early stages of ESRD. For example, PD users tend to have a lower risk of death compared to HD users early in the disease course (Citations XX), though these differences often decrease as the disease progresses (Citations XX).</w:t>
      </w:r>
    </w:p>
    <w:p w14:paraId="4C4F93C1" w14:textId="77777777" w:rsidR="007A315C" w:rsidRPr="007A315C" w:rsidRDefault="007A315C" w:rsidP="007A315C">
      <w:pPr>
        <w:numPr>
          <w:ilvl w:val="0"/>
          <w:numId w:val="40"/>
        </w:numPr>
        <w:rPr>
          <w:bCs/>
          <w:lang w:val="en-US"/>
        </w:rPr>
      </w:pPr>
      <w:r w:rsidRPr="007A315C">
        <w:rPr>
          <w:b/>
          <w:bCs/>
          <w:lang w:val="en-US"/>
        </w:rPr>
        <w:t>Factors Influencing Outcomes:</w:t>
      </w:r>
      <w:r w:rsidRPr="007A315C">
        <w:rPr>
          <w:bCs/>
          <w:lang w:val="en-US"/>
        </w:rPr>
        <w:br/>
        <w:t>Patient outcomes may depend on various factors, including age, diabetes status, and the presence of other comorbidities. For instance, diabetes patients may have worse outcomes on PD compared to non-diabetic patients (Citations XX).</w:t>
      </w:r>
    </w:p>
    <w:p w14:paraId="23E431F9" w14:textId="77777777" w:rsidR="007A315C" w:rsidRPr="007A315C" w:rsidRDefault="007A315C" w:rsidP="007A315C">
      <w:pPr>
        <w:numPr>
          <w:ilvl w:val="0"/>
          <w:numId w:val="40"/>
        </w:numPr>
        <w:rPr>
          <w:bCs/>
          <w:lang w:val="en-US"/>
        </w:rPr>
      </w:pPr>
      <w:r w:rsidRPr="007A315C">
        <w:rPr>
          <w:b/>
          <w:bCs/>
          <w:lang w:val="en-US"/>
        </w:rPr>
        <w:t>Non-Medical Determinants of Dialysis Modality:</w:t>
      </w:r>
      <w:r w:rsidRPr="007A315C">
        <w:rPr>
          <w:bCs/>
          <w:lang w:val="en-US"/>
        </w:rPr>
        <w:br/>
        <w:t>The choice of dialysis modality is often influenced by non-medical factors, such as patient and physician preferences. Most patients are eligible for either HD or PD, but their choice may be guided by personal circumstances (Citations XX).</w:t>
      </w:r>
    </w:p>
    <w:p w14:paraId="045DF5A7" w14:textId="77777777" w:rsidR="007A315C" w:rsidRPr="007A315C" w:rsidRDefault="007A315C" w:rsidP="007A315C">
      <w:pPr>
        <w:numPr>
          <w:ilvl w:val="0"/>
          <w:numId w:val="40"/>
        </w:numPr>
        <w:rPr>
          <w:bCs/>
          <w:lang w:val="en-US"/>
        </w:rPr>
      </w:pPr>
      <w:r w:rsidRPr="007A315C">
        <w:rPr>
          <w:b/>
          <w:bCs/>
          <w:lang w:val="en-US"/>
        </w:rPr>
        <w:t>Education and Physician Involvement:</w:t>
      </w:r>
      <w:r w:rsidRPr="007A315C">
        <w:rPr>
          <w:bCs/>
          <w:lang w:val="en-US"/>
        </w:rPr>
        <w:br/>
        <w:t>A key factor in determining PD uptake is whether a patient has been properly educated about their options by their healthcare provider (Citations XX). Previous studies have found that many patients feel they did not receive adequate information to make an informed choice about their dialysis modality (Citations XX). Additionally, patients who have seen a nephrologist before starting dialysis are more likely to be well-informed about their options, as nephrologists typically have more expertise in this area (Citations XX).</w:t>
      </w:r>
    </w:p>
    <w:p w14:paraId="23A5B321" w14:textId="77777777" w:rsidR="007A315C" w:rsidRPr="007A315C" w:rsidRDefault="007A315C" w:rsidP="007A315C">
      <w:pPr>
        <w:numPr>
          <w:ilvl w:val="0"/>
          <w:numId w:val="40"/>
        </w:numPr>
        <w:rPr>
          <w:bCs/>
          <w:lang w:val="en-US"/>
        </w:rPr>
      </w:pPr>
      <w:r w:rsidRPr="007A315C">
        <w:rPr>
          <w:b/>
          <w:bCs/>
          <w:lang w:val="en-US"/>
        </w:rPr>
        <w:t>Demographic Factors and PD Uptake:</w:t>
      </w:r>
      <w:r w:rsidRPr="007A315C">
        <w:rPr>
          <w:bCs/>
          <w:lang w:val="en-US"/>
        </w:rPr>
        <w:br/>
        <w:t>Studies have shown that PD users tend to be younger, more likely to be White, and less likely to have comorbidities compared to HD patients (Citations XX). Additionally, living alone may limit PD uptake due to the need for assistance with care, which is typically provided at dialysis centers for HD patients (Citations XX).</w:t>
      </w:r>
    </w:p>
    <w:p w14:paraId="26D5B9F4" w14:textId="77777777" w:rsidR="007A315C" w:rsidRPr="007A315C" w:rsidRDefault="007A315C" w:rsidP="007A315C">
      <w:pPr>
        <w:numPr>
          <w:ilvl w:val="0"/>
          <w:numId w:val="40"/>
        </w:numPr>
        <w:rPr>
          <w:bCs/>
          <w:lang w:val="en-US"/>
        </w:rPr>
      </w:pPr>
      <w:r w:rsidRPr="007A315C">
        <w:rPr>
          <w:b/>
          <w:bCs/>
          <w:lang w:val="en-US"/>
        </w:rPr>
        <w:t>Switching Between Dialysis Modalities:</w:t>
      </w:r>
      <w:r w:rsidRPr="007A315C">
        <w:rPr>
          <w:bCs/>
          <w:lang w:val="en-US"/>
        </w:rPr>
        <w:br/>
        <w:t>Most switches between dialysis modalities are from PD to HD. The reasons for switching are varied, with infections being the most common cause, followed by cardiovascular issues like fluid overload. Other factors, such as abdominal surgery, pancreatitis, malnutrition, decreased mental capacity, or abdominal wall defects, may also contribute (Citations XX).</w:t>
      </w:r>
    </w:p>
    <w:p w14:paraId="704B8B9F" w14:textId="77777777" w:rsidR="007A315C" w:rsidRPr="007A315C" w:rsidRDefault="007A315C" w:rsidP="007A315C">
      <w:pPr>
        <w:numPr>
          <w:ilvl w:val="1"/>
          <w:numId w:val="40"/>
        </w:numPr>
        <w:rPr>
          <w:bCs/>
          <w:lang w:val="en-US"/>
        </w:rPr>
      </w:pPr>
      <w:r w:rsidRPr="007A315C">
        <w:rPr>
          <w:b/>
          <w:bCs/>
          <w:lang w:val="en-US"/>
        </w:rPr>
        <w:t>Characteristics of Switchers:</w:t>
      </w:r>
      <w:r w:rsidRPr="007A315C">
        <w:rPr>
          <w:bCs/>
          <w:lang w:val="en-US"/>
        </w:rPr>
        <w:br/>
        <w:t>A study on PD-to-HD switchers found that these patients were more likely to have a higher BMI and serum creatinine at baseline. They were also less likely to be White and had lower residual urine output at both baseline and one year of follow-up (Citations XX). Interestingly, patients who lived farther from a dialysis center or had higher levels of education were less likely to switch modalities. More than 70% of switches occurred within the first two years of starting PD, with infections being the primary cause of the switch (Citations XX).</w:t>
      </w:r>
    </w:p>
    <w:p w14:paraId="1D3845A1" w14:textId="77777777" w:rsidR="007A315C" w:rsidRPr="007A315C" w:rsidRDefault="007A315C" w:rsidP="007A315C">
      <w:pPr>
        <w:numPr>
          <w:ilvl w:val="1"/>
          <w:numId w:val="40"/>
        </w:numPr>
        <w:rPr>
          <w:bCs/>
          <w:lang w:val="en-US"/>
        </w:rPr>
      </w:pPr>
      <w:r w:rsidRPr="007A315C">
        <w:rPr>
          <w:b/>
          <w:bCs/>
          <w:lang w:val="en-US"/>
        </w:rPr>
        <w:t>HD to PD Switches:</w:t>
      </w:r>
      <w:r w:rsidRPr="007A315C">
        <w:rPr>
          <w:bCs/>
          <w:lang w:val="en-US"/>
        </w:rPr>
        <w:br/>
        <w:t>In contrast, switches from HD to PD tend to be driven more by personal preference or changes in the patient’s circumstances, although some medical reasons may also be involved. Common reasons for switching to PD include lack of awareness about PD as an option due to late referral, changes in caregiver preference, or issues with vascular access or hypotension associated with HD (Citations XX).</w:t>
      </w:r>
    </w:p>
    <w:p w14:paraId="12D3F680" w14:textId="77777777" w:rsidR="007A315C" w:rsidRPr="007A315C" w:rsidRDefault="007A315C" w:rsidP="007A315C">
      <w:pPr>
        <w:numPr>
          <w:ilvl w:val="0"/>
          <w:numId w:val="40"/>
        </w:numPr>
        <w:rPr>
          <w:bCs/>
          <w:lang w:val="en-US"/>
        </w:rPr>
      </w:pPr>
      <w:r w:rsidRPr="007A315C">
        <w:rPr>
          <w:b/>
          <w:bCs/>
          <w:lang w:val="en-US"/>
        </w:rPr>
        <w:t>Impact of Switching from HD to PD on Mortality:</w:t>
      </w:r>
      <w:r w:rsidRPr="007A315C">
        <w:rPr>
          <w:bCs/>
          <w:lang w:val="en-US"/>
        </w:rPr>
        <w:br/>
        <w:t>Some studies have found that switching from HD to PD may be associated with a higher risk of mortality. This could be due to factors such as subclinical cardiac ischemia caused by the initial period on HD, unmeasurable variables related to the decision to start HD, or more rapid loss of residual kidney function following an initial HD start (Citations XX).</w:t>
      </w:r>
    </w:p>
    <w:p w14:paraId="68A44B23" w14:textId="77777777" w:rsidR="007A315C" w:rsidRPr="007A315C" w:rsidRDefault="007A315C" w:rsidP="007A315C">
      <w:pPr>
        <w:numPr>
          <w:ilvl w:val="0"/>
          <w:numId w:val="40"/>
        </w:numPr>
        <w:rPr>
          <w:bCs/>
          <w:lang w:val="en-US"/>
        </w:rPr>
      </w:pPr>
      <w:r w:rsidRPr="007A315C">
        <w:rPr>
          <w:b/>
          <w:bCs/>
          <w:lang w:val="en-US"/>
        </w:rPr>
        <w:t>Outcomes of HD-to-PD Switchers:</w:t>
      </w:r>
      <w:r w:rsidRPr="007A315C">
        <w:rPr>
          <w:bCs/>
          <w:lang w:val="en-US"/>
        </w:rPr>
        <w:br/>
        <w:t>Other studies have reported worse outcomes for patients who switched from HD to PD compared to those who started on PD. This may be related to a higher burden of comorbidities and malnutrition in the switch population (Citations XX).</w:t>
      </w:r>
    </w:p>
    <w:p w14:paraId="5AA47B66" w14:textId="77777777" w:rsidR="008242E7" w:rsidRDefault="007A315C" w:rsidP="00D7633B">
      <w:pPr>
        <w:numPr>
          <w:ilvl w:val="0"/>
          <w:numId w:val="40"/>
        </w:numPr>
        <w:rPr>
          <w:bCs/>
          <w:lang w:val="en-US"/>
        </w:rPr>
      </w:pPr>
      <w:r w:rsidRPr="007A315C">
        <w:rPr>
          <w:b/>
          <w:bCs/>
          <w:lang w:val="en-US"/>
        </w:rPr>
        <w:t>Comorbidities and PD Outcomes:</w:t>
      </w:r>
      <w:r w:rsidRPr="007A315C">
        <w:rPr>
          <w:bCs/>
          <w:lang w:val="en-US"/>
        </w:rPr>
        <w:br/>
        <w:t>Poorer outcomes in PD patients who switch from HD may be attributable to their comorbid conditions. Studies have found that these switchers are often at greater risk of complications, which may affect the success of their dialysis treatment (Citations XX).</w:t>
      </w:r>
    </w:p>
    <w:p w14:paraId="02021D60" w14:textId="77777777" w:rsidR="008242E7" w:rsidRDefault="008242E7" w:rsidP="008242E7">
      <w:pPr>
        <w:rPr>
          <w:b/>
          <w:bCs/>
          <w:lang w:val="en-US"/>
        </w:rPr>
      </w:pPr>
    </w:p>
    <w:p w14:paraId="6F6CB9F2" w14:textId="731EDC9B" w:rsidR="00D7633B" w:rsidRPr="008242E7" w:rsidRDefault="00D7633B" w:rsidP="008242E7">
      <w:pPr>
        <w:rPr>
          <w:bCs/>
          <w:lang w:val="en-US"/>
        </w:rPr>
      </w:pPr>
      <w:r w:rsidRPr="008242E7">
        <w:rPr>
          <w:b/>
          <w:bCs/>
        </w:rPr>
        <w:t>Research Goal and Question:</w:t>
      </w:r>
    </w:p>
    <w:p w14:paraId="392661ED" w14:textId="3FDAB7DA" w:rsidR="00D7633B" w:rsidRPr="008242E7" w:rsidRDefault="00D7633B" w:rsidP="00D7633B">
      <w:pPr>
        <w:pStyle w:val="NormalWeb"/>
        <w:rPr>
          <w:rFonts w:ascii="Arial" w:hAnsi="Arial" w:cs="Arial"/>
          <w:sz w:val="22"/>
          <w:szCs w:val="22"/>
        </w:rPr>
      </w:pPr>
      <w:r w:rsidRPr="008242E7">
        <w:rPr>
          <w:rFonts w:ascii="Arial" w:hAnsi="Arial" w:cs="Arial"/>
          <w:sz w:val="22"/>
          <w:szCs w:val="22"/>
        </w:rPr>
        <w:t>The final goal of this project is to confirm the association between the PPS reform and the increased availability and uptake of PD, focusing on the impacts of this change rather than just its occurrence. Specifically, the study seeks to determine whether outcomes</w:t>
      </w:r>
      <w:r w:rsidRPr="008242E7">
        <w:rPr>
          <w:rFonts w:ascii="Arial" w:hAnsi="Arial" w:cs="Arial"/>
          <w:sz w:val="22"/>
          <w:szCs w:val="22"/>
        </w:rPr>
        <w:t xml:space="preserve">, </w:t>
      </w:r>
      <w:r w:rsidRPr="008242E7">
        <w:rPr>
          <w:rFonts w:ascii="Arial" w:hAnsi="Arial" w:cs="Arial"/>
          <w:sz w:val="22"/>
          <w:szCs w:val="22"/>
        </w:rPr>
        <w:t>particularly mortality</w:t>
      </w:r>
      <w:r w:rsidRPr="008242E7">
        <w:rPr>
          <w:rFonts w:ascii="Arial" w:hAnsi="Arial" w:cs="Arial"/>
          <w:sz w:val="22"/>
          <w:szCs w:val="22"/>
        </w:rPr>
        <w:t xml:space="preserve">, </w:t>
      </w:r>
      <w:r w:rsidRPr="008242E7">
        <w:rPr>
          <w:rFonts w:ascii="Arial" w:hAnsi="Arial" w:cs="Arial"/>
          <w:sz w:val="22"/>
          <w:szCs w:val="22"/>
        </w:rPr>
        <w:t>differed between PD users and HD users in the years following the reform, compared to before the reform. This will help assess the appropriateness of the policy changes.</w:t>
      </w:r>
    </w:p>
    <w:p w14:paraId="509A16F7" w14:textId="67903EEC" w:rsidR="007A315C" w:rsidRPr="008242E7" w:rsidRDefault="00D7633B" w:rsidP="00D7633B">
      <w:pPr>
        <w:rPr>
          <w:bCs/>
        </w:rPr>
      </w:pPr>
      <w:r w:rsidRPr="008242E7">
        <w:rPr>
          <w:bCs/>
        </w:rPr>
        <w:t>Overall, the study aims to evaluate the effects of the PPS reform and explore the potential for broader use of PD to improve the quality of life for the Medicare ESRD population.</w:t>
      </w:r>
    </w:p>
    <w:p w14:paraId="621EEA63" w14:textId="77777777" w:rsidR="00D7633B" w:rsidRPr="008242E7" w:rsidRDefault="00D7633B" w:rsidP="00D7633B">
      <w:pPr>
        <w:rPr>
          <w:bCs/>
          <w:lang w:val="en-US"/>
        </w:rPr>
      </w:pPr>
    </w:p>
    <w:p w14:paraId="5FA5065E" w14:textId="262D911E" w:rsidR="003720EF" w:rsidRPr="008242E7" w:rsidRDefault="00D76087">
      <w:pPr>
        <w:rPr>
          <w:b/>
          <w:bCs/>
          <w:i/>
          <w:highlight w:val="white"/>
        </w:rPr>
      </w:pPr>
      <w:r w:rsidRPr="008242E7">
        <w:rPr>
          <w:b/>
          <w:bCs/>
          <w:i/>
          <w:highlight w:val="white"/>
        </w:rPr>
        <w:t>Research Questions</w:t>
      </w:r>
    </w:p>
    <w:p w14:paraId="58F23F54" w14:textId="70C810DD" w:rsidR="003720EF" w:rsidRPr="008242E7" w:rsidRDefault="00D76087">
      <w:pPr>
        <w:numPr>
          <w:ilvl w:val="0"/>
          <w:numId w:val="10"/>
        </w:numPr>
      </w:pPr>
      <w:r w:rsidRPr="008242E7">
        <w:rPr>
          <w:b/>
        </w:rPr>
        <w:t>Question 1:</w:t>
      </w:r>
      <w:r w:rsidRPr="008242E7">
        <w:t xml:space="preserve"> </w:t>
      </w:r>
      <w:r w:rsidR="00D7633B" w:rsidRPr="008242E7">
        <w:t>Did mortality rates differ between incident cases of ESRD on PD before and after the reform period?</w:t>
      </w:r>
    </w:p>
    <w:p w14:paraId="60746B08" w14:textId="58AAE299" w:rsidR="003720EF" w:rsidRPr="008242E7" w:rsidRDefault="00D76087">
      <w:pPr>
        <w:numPr>
          <w:ilvl w:val="0"/>
          <w:numId w:val="10"/>
        </w:numPr>
      </w:pPr>
      <w:r w:rsidRPr="008242E7">
        <w:rPr>
          <w:b/>
        </w:rPr>
        <w:t>Question 2:</w:t>
      </w:r>
      <w:r w:rsidR="00D7633B" w:rsidRPr="008242E7">
        <w:t xml:space="preserve"> </w:t>
      </w:r>
      <w:r w:rsidR="00D7633B" w:rsidRPr="008242E7">
        <w:rPr>
          <w:bCs/>
        </w:rPr>
        <w:t xml:space="preserve">Were the comparative mortality rates </w:t>
      </w:r>
      <w:r w:rsidR="00D7633B" w:rsidRPr="008242E7">
        <w:rPr>
          <w:bCs/>
        </w:rPr>
        <w:t>different</w:t>
      </w:r>
      <w:r w:rsidR="00D7633B" w:rsidRPr="008242E7">
        <w:rPr>
          <w:bCs/>
        </w:rPr>
        <w:t xml:space="preserve"> between HD and PD users among incident cases of ESRD, both before and after the reform?</w:t>
      </w:r>
    </w:p>
    <w:p w14:paraId="6D3AF2DC" w14:textId="77777777" w:rsidR="003720EF" w:rsidRPr="008242E7" w:rsidRDefault="003720EF"/>
    <w:p w14:paraId="23EC69FA" w14:textId="7C9C4EC9" w:rsidR="00382112" w:rsidRPr="008242E7" w:rsidRDefault="00382112" w:rsidP="00382112">
      <w:pPr>
        <w:pStyle w:val="ListParagraph"/>
        <w:numPr>
          <w:ilvl w:val="0"/>
          <w:numId w:val="10"/>
        </w:numPr>
        <w:jc w:val="center"/>
        <w:rPr>
          <w:b/>
        </w:rPr>
      </w:pPr>
      <w:r>
        <w:rPr>
          <w:b/>
        </w:rPr>
        <w:t>METHODOLOGY</w:t>
      </w:r>
    </w:p>
    <w:p w14:paraId="349F046E" w14:textId="029EDF62" w:rsidR="00322304" w:rsidRPr="00382112" w:rsidRDefault="00322304" w:rsidP="00382112">
      <w:pPr>
        <w:pStyle w:val="ListParagraph"/>
        <w:rPr>
          <w:b/>
          <w:bCs/>
          <w:highlight w:val="white"/>
          <w:u w:val="single"/>
        </w:rPr>
      </w:pPr>
    </w:p>
    <w:p w14:paraId="5EE9F3A6" w14:textId="77777777" w:rsidR="00D7633B" w:rsidRPr="00D7633B" w:rsidRDefault="00D7633B" w:rsidP="00D7633B">
      <w:pPr>
        <w:rPr>
          <w:highlight w:val="white"/>
          <w:lang w:val="en-US"/>
        </w:rPr>
      </w:pPr>
      <w:r w:rsidRPr="00D7633B">
        <w:rPr>
          <w:highlight w:val="white"/>
          <w:lang w:val="en-US"/>
        </w:rPr>
        <w:t>Source of Data:</w:t>
      </w:r>
    </w:p>
    <w:p w14:paraId="503516A6" w14:textId="77777777" w:rsidR="00D7633B" w:rsidRPr="00D7633B" w:rsidRDefault="00D7633B" w:rsidP="00D7633B">
      <w:pPr>
        <w:numPr>
          <w:ilvl w:val="0"/>
          <w:numId w:val="41"/>
        </w:numPr>
        <w:rPr>
          <w:highlight w:val="white"/>
          <w:lang w:val="en-US"/>
        </w:rPr>
      </w:pPr>
      <w:r w:rsidRPr="00D7633B">
        <w:rPr>
          <w:highlight w:val="white"/>
          <w:lang w:val="en-US"/>
        </w:rPr>
        <w:t>Data for this study were extracted from the United States Renal Data System (USRDS), a comprehensive source for information on ESRD patients.</w:t>
      </w:r>
    </w:p>
    <w:p w14:paraId="1FB2CC01" w14:textId="77777777" w:rsidR="00D7633B" w:rsidRPr="00D7633B" w:rsidRDefault="00D7633B" w:rsidP="00D7633B">
      <w:pPr>
        <w:numPr>
          <w:ilvl w:val="0"/>
          <w:numId w:val="41"/>
        </w:numPr>
        <w:rPr>
          <w:highlight w:val="white"/>
          <w:lang w:val="en-US"/>
        </w:rPr>
      </w:pPr>
      <w:r w:rsidRPr="00D7633B">
        <w:rPr>
          <w:highlight w:val="white"/>
          <w:lang w:val="en-US"/>
        </w:rPr>
        <w:t>The primary dataset for this study was sourced from institutional claims SAFs, which contain claims data from the CMS Renal Beneficiary and Utilization System (REBUS), providing detailed information on dialysis modality.</w:t>
      </w:r>
    </w:p>
    <w:p w14:paraId="2948F2D8" w14:textId="77777777" w:rsidR="00D7633B" w:rsidRPr="00D7633B" w:rsidRDefault="00D7633B" w:rsidP="00D7633B">
      <w:pPr>
        <w:numPr>
          <w:ilvl w:val="0"/>
          <w:numId w:val="41"/>
        </w:numPr>
        <w:rPr>
          <w:highlight w:val="white"/>
          <w:lang w:val="en-US"/>
        </w:rPr>
      </w:pPr>
      <w:r w:rsidRPr="00D7633B">
        <w:rPr>
          <w:highlight w:val="white"/>
          <w:lang w:val="en-US"/>
        </w:rPr>
        <w:t>This dialysis modality data was supplemented with demographic and comorbidity information from the Patient Core and Comorbidities SAFs within the CKD 5% files, which are derived from the 5% sample of the general Medicare Claims SAFs. These files include a patient master file, a payer sequence file, and multiple comorbidity files.</w:t>
      </w:r>
    </w:p>
    <w:p w14:paraId="562B2011" w14:textId="77777777" w:rsidR="00322304" w:rsidRPr="008242E7" w:rsidRDefault="00322304">
      <w:pPr>
        <w:rPr>
          <w:highlight w:val="white"/>
        </w:rPr>
      </w:pPr>
    </w:p>
    <w:p w14:paraId="5E199D38" w14:textId="7710C19C" w:rsidR="003720EF" w:rsidRPr="008242E7" w:rsidRDefault="00D76087" w:rsidP="00322304">
      <w:pPr>
        <w:rPr>
          <w:highlight w:val="white"/>
        </w:rPr>
      </w:pPr>
      <w:r w:rsidRPr="008242E7">
        <w:rPr>
          <w:highlight w:val="white"/>
        </w:rPr>
        <w:t>More specifically, the following files were used:</w:t>
      </w:r>
    </w:p>
    <w:p w14:paraId="17B143D0" w14:textId="77777777" w:rsidR="003720EF" w:rsidRPr="008242E7" w:rsidRDefault="003720EF">
      <w:pPr>
        <w:rPr>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0EF" w:rsidRPr="008242E7" w14:paraId="17933E65" w14:textId="77777777">
        <w:tc>
          <w:tcPr>
            <w:tcW w:w="4680" w:type="dxa"/>
            <w:shd w:val="clear" w:color="auto" w:fill="auto"/>
            <w:tcMar>
              <w:top w:w="100" w:type="dxa"/>
              <w:left w:w="100" w:type="dxa"/>
              <w:bottom w:w="100" w:type="dxa"/>
              <w:right w:w="100" w:type="dxa"/>
            </w:tcMar>
          </w:tcPr>
          <w:p w14:paraId="06834D92"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File</w:t>
            </w:r>
          </w:p>
        </w:tc>
        <w:tc>
          <w:tcPr>
            <w:tcW w:w="4680" w:type="dxa"/>
            <w:shd w:val="clear" w:color="auto" w:fill="auto"/>
            <w:tcMar>
              <w:top w:w="100" w:type="dxa"/>
              <w:left w:w="100" w:type="dxa"/>
              <w:bottom w:w="100" w:type="dxa"/>
              <w:right w:w="100" w:type="dxa"/>
            </w:tcMar>
          </w:tcPr>
          <w:p w14:paraId="764386B1"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Information drawn from it for this project</w:t>
            </w:r>
          </w:p>
        </w:tc>
      </w:tr>
      <w:tr w:rsidR="003720EF" w:rsidRPr="008242E7" w14:paraId="4EE414DD" w14:textId="77777777">
        <w:tc>
          <w:tcPr>
            <w:tcW w:w="4680" w:type="dxa"/>
            <w:shd w:val="clear" w:color="auto" w:fill="auto"/>
            <w:tcMar>
              <w:top w:w="100" w:type="dxa"/>
              <w:left w:w="100" w:type="dxa"/>
              <w:bottom w:w="100" w:type="dxa"/>
              <w:right w:w="100" w:type="dxa"/>
            </w:tcMar>
          </w:tcPr>
          <w:p w14:paraId="06CD798B"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 xml:space="preserve">(From CKD 5% Core file): </w:t>
            </w:r>
            <w:proofErr w:type="spellStart"/>
            <w:r w:rsidRPr="008242E7">
              <w:rPr>
                <w:highlight w:val="white"/>
              </w:rPr>
              <w:t>Ckd_patient_master_file</w:t>
            </w:r>
            <w:proofErr w:type="spellEnd"/>
            <w:r w:rsidRPr="008242E7">
              <w:rPr>
                <w:highlight w:val="white"/>
              </w:rPr>
              <w:t xml:space="preserve"> </w:t>
            </w:r>
          </w:p>
        </w:tc>
        <w:tc>
          <w:tcPr>
            <w:tcW w:w="4680" w:type="dxa"/>
            <w:shd w:val="clear" w:color="auto" w:fill="auto"/>
            <w:tcMar>
              <w:top w:w="100" w:type="dxa"/>
              <w:left w:w="100" w:type="dxa"/>
              <w:bottom w:w="100" w:type="dxa"/>
              <w:right w:w="100" w:type="dxa"/>
            </w:tcMar>
          </w:tcPr>
          <w:p w14:paraId="13BC7C9A"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Sex</w:t>
            </w:r>
          </w:p>
          <w:p w14:paraId="4104CEC7"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Age</w:t>
            </w:r>
          </w:p>
          <w:p w14:paraId="707D6FEC"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Death status</w:t>
            </w:r>
          </w:p>
          <w:p w14:paraId="173BA374"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ESRD onset date</w:t>
            </w:r>
          </w:p>
          <w:p w14:paraId="65FA5036"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Race</w:t>
            </w:r>
          </w:p>
        </w:tc>
      </w:tr>
      <w:tr w:rsidR="003720EF" w:rsidRPr="008242E7" w14:paraId="3F53E4A5" w14:textId="77777777">
        <w:tc>
          <w:tcPr>
            <w:tcW w:w="4680" w:type="dxa"/>
            <w:shd w:val="clear" w:color="auto" w:fill="auto"/>
            <w:tcMar>
              <w:top w:w="100" w:type="dxa"/>
              <w:left w:w="100" w:type="dxa"/>
              <w:bottom w:w="100" w:type="dxa"/>
              <w:right w:w="100" w:type="dxa"/>
            </w:tcMar>
          </w:tcPr>
          <w:p w14:paraId="1F0135A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(From 2013 ESRD file):</w:t>
            </w:r>
          </w:p>
          <w:p w14:paraId="0C75346C"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in_clm_2013</w:t>
            </w:r>
          </w:p>
          <w:p w14:paraId="0768CF6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out_clm_2013</w:t>
            </w:r>
          </w:p>
          <w:p w14:paraId="5AE976C9"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sn_clm_2013</w:t>
            </w:r>
          </w:p>
        </w:tc>
        <w:tc>
          <w:tcPr>
            <w:tcW w:w="4680" w:type="dxa"/>
            <w:shd w:val="clear" w:color="auto" w:fill="auto"/>
            <w:tcMar>
              <w:top w:w="100" w:type="dxa"/>
              <w:left w:w="100" w:type="dxa"/>
              <w:bottom w:w="100" w:type="dxa"/>
              <w:right w:w="100" w:type="dxa"/>
            </w:tcMar>
          </w:tcPr>
          <w:p w14:paraId="497EEB17"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Dialysis modality for each claim</w:t>
            </w:r>
          </w:p>
          <w:p w14:paraId="250DA4AD"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Hemoglobin</w:t>
            </w:r>
          </w:p>
          <w:p w14:paraId="17735A17" w14:textId="77777777" w:rsidR="003720EF" w:rsidRPr="008242E7" w:rsidRDefault="00D76087">
            <w:pPr>
              <w:widowControl w:val="0"/>
              <w:pBdr>
                <w:top w:val="nil"/>
                <w:left w:val="nil"/>
                <w:bottom w:val="nil"/>
                <w:right w:val="nil"/>
                <w:between w:val="nil"/>
              </w:pBdr>
              <w:spacing w:line="240" w:lineRule="auto"/>
              <w:rPr>
                <w:highlight w:val="white"/>
              </w:rPr>
            </w:pPr>
            <w:proofErr w:type="spellStart"/>
            <w:r w:rsidRPr="008242E7">
              <w:rPr>
                <w:highlight w:val="white"/>
              </w:rPr>
              <w:t>Hemotocrit</w:t>
            </w:r>
            <w:proofErr w:type="spellEnd"/>
          </w:p>
        </w:tc>
      </w:tr>
      <w:tr w:rsidR="003720EF" w:rsidRPr="008242E7" w14:paraId="348FE233" w14:textId="77777777">
        <w:tc>
          <w:tcPr>
            <w:tcW w:w="4680" w:type="dxa"/>
            <w:shd w:val="clear" w:color="auto" w:fill="auto"/>
            <w:tcMar>
              <w:top w:w="100" w:type="dxa"/>
              <w:left w:w="100" w:type="dxa"/>
              <w:bottom w:w="100" w:type="dxa"/>
              <w:right w:w="100" w:type="dxa"/>
            </w:tcMar>
          </w:tcPr>
          <w:p w14:paraId="107761F0"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(From 2008-2012 ESRD files)</w:t>
            </w:r>
          </w:p>
          <w:p w14:paraId="4EF4FF6A"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Inc20XXa</w:t>
            </w:r>
          </w:p>
          <w:p w14:paraId="27F76D6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Inc20XXb</w:t>
            </w:r>
          </w:p>
        </w:tc>
        <w:tc>
          <w:tcPr>
            <w:tcW w:w="4680" w:type="dxa"/>
            <w:shd w:val="clear" w:color="auto" w:fill="auto"/>
            <w:tcMar>
              <w:top w:w="100" w:type="dxa"/>
              <w:left w:w="100" w:type="dxa"/>
              <w:bottom w:w="100" w:type="dxa"/>
              <w:right w:w="100" w:type="dxa"/>
            </w:tcMar>
          </w:tcPr>
          <w:p w14:paraId="5A2E12B0"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 xml:space="preserve">Same information as prior row, but the information that was spread across three files in the 2013 files was spread across two </w:t>
            </w:r>
            <w:proofErr w:type="gramStart"/>
            <w:r w:rsidRPr="008242E7">
              <w:rPr>
                <w:highlight w:val="white"/>
              </w:rPr>
              <w:t>files  for</w:t>
            </w:r>
            <w:proofErr w:type="gramEnd"/>
            <w:r w:rsidRPr="008242E7">
              <w:rPr>
                <w:highlight w:val="white"/>
              </w:rPr>
              <w:t xml:space="preserve"> 2008-2012</w:t>
            </w:r>
          </w:p>
        </w:tc>
      </w:tr>
      <w:tr w:rsidR="003720EF" w:rsidRPr="008242E7" w14:paraId="04AA7441" w14:textId="77777777">
        <w:tc>
          <w:tcPr>
            <w:tcW w:w="4680" w:type="dxa"/>
            <w:shd w:val="clear" w:color="auto" w:fill="auto"/>
            <w:tcMar>
              <w:top w:w="100" w:type="dxa"/>
              <w:left w:w="100" w:type="dxa"/>
              <w:bottom w:w="100" w:type="dxa"/>
              <w:right w:w="100" w:type="dxa"/>
            </w:tcMar>
          </w:tcPr>
          <w:p w14:paraId="0EE58676" w14:textId="77777777" w:rsidR="003720EF" w:rsidRPr="008242E7" w:rsidRDefault="00D76087">
            <w:pPr>
              <w:widowControl w:val="0"/>
              <w:spacing w:line="240" w:lineRule="auto"/>
              <w:rPr>
                <w:highlight w:val="white"/>
              </w:rPr>
            </w:pPr>
            <w:r w:rsidRPr="008242E7">
              <w:rPr>
                <w:highlight w:val="white"/>
              </w:rPr>
              <w:t>(From CKD 5% Core file, comorbidity information for the six years of the study):</w:t>
            </w:r>
          </w:p>
          <w:p w14:paraId="16641EBB" w14:textId="77777777" w:rsidR="003720EF" w:rsidRPr="008242E7" w:rsidRDefault="00D76087">
            <w:pPr>
              <w:widowControl w:val="0"/>
              <w:spacing w:line="240" w:lineRule="auto"/>
              <w:rPr>
                <w:highlight w:val="white"/>
              </w:rPr>
            </w:pPr>
            <w:r w:rsidRPr="008242E7">
              <w:rPr>
                <w:highlight w:val="white"/>
              </w:rPr>
              <w:t>Ckd_co_morbid_08 - Ckd_co_morbid_13</w:t>
            </w:r>
          </w:p>
        </w:tc>
        <w:tc>
          <w:tcPr>
            <w:tcW w:w="4680" w:type="dxa"/>
            <w:shd w:val="clear" w:color="auto" w:fill="auto"/>
            <w:tcMar>
              <w:top w:w="100" w:type="dxa"/>
              <w:left w:w="100" w:type="dxa"/>
              <w:bottom w:w="100" w:type="dxa"/>
              <w:right w:w="100" w:type="dxa"/>
            </w:tcMar>
          </w:tcPr>
          <w:p w14:paraId="19FBB8D0" w14:textId="77777777" w:rsidR="003720EF" w:rsidRPr="008242E7" w:rsidRDefault="00D76087">
            <w:pPr>
              <w:widowControl w:val="0"/>
              <w:spacing w:line="240" w:lineRule="auto"/>
              <w:rPr>
                <w:highlight w:val="white"/>
              </w:rPr>
            </w:pPr>
            <w:r w:rsidRPr="008242E7">
              <w:rPr>
                <w:highlight w:val="white"/>
              </w:rPr>
              <w:t>Diabetes Status</w:t>
            </w:r>
          </w:p>
          <w:p w14:paraId="68EDC4F9" w14:textId="77777777" w:rsidR="003720EF" w:rsidRPr="008242E7" w:rsidRDefault="00D76087">
            <w:pPr>
              <w:widowControl w:val="0"/>
              <w:spacing w:line="240" w:lineRule="auto"/>
              <w:rPr>
                <w:highlight w:val="white"/>
              </w:rPr>
            </w:pPr>
            <w:r w:rsidRPr="008242E7">
              <w:rPr>
                <w:highlight w:val="white"/>
              </w:rPr>
              <w:t xml:space="preserve">Number of distinct comorbidities found in claims for </w:t>
            </w:r>
            <w:proofErr w:type="gramStart"/>
            <w:r w:rsidRPr="008242E7">
              <w:rPr>
                <w:highlight w:val="white"/>
              </w:rPr>
              <w:t>each individual</w:t>
            </w:r>
            <w:proofErr w:type="gramEnd"/>
          </w:p>
        </w:tc>
      </w:tr>
    </w:tbl>
    <w:p w14:paraId="1A3A9564" w14:textId="77777777" w:rsidR="003720EF" w:rsidRPr="008242E7" w:rsidRDefault="003720EF">
      <w:pPr>
        <w:rPr>
          <w:highlight w:val="white"/>
        </w:rPr>
      </w:pPr>
    </w:p>
    <w:p w14:paraId="5481E482" w14:textId="77777777" w:rsidR="003720EF" w:rsidRPr="008242E7" w:rsidRDefault="00D76087">
      <w:pPr>
        <w:rPr>
          <w:i/>
          <w:highlight w:val="white"/>
        </w:rPr>
      </w:pPr>
      <w:r w:rsidRPr="008242E7">
        <w:rPr>
          <w:i/>
          <w:highlight w:val="white"/>
        </w:rPr>
        <w:t>Cohort Creation and Inclusion/Exclusion Criteria</w:t>
      </w:r>
    </w:p>
    <w:p w14:paraId="71FE341F" w14:textId="77777777" w:rsidR="00D7633B" w:rsidRPr="008242E7" w:rsidRDefault="00D7633B" w:rsidP="00D7633B">
      <w:pPr>
        <w:rPr>
          <w:iCs/>
          <w:highlight w:val="white"/>
          <w:lang w:val="en-US"/>
        </w:rPr>
      </w:pPr>
      <w:r w:rsidRPr="00D7633B">
        <w:rPr>
          <w:iCs/>
          <w:highlight w:val="white"/>
          <w:lang w:val="en-US"/>
        </w:rPr>
        <w:t>Using the data from these files, two cohorts were created: one consisting of incident ESRD cases with an ESRD onset date (from the CKD 5% Patient Core SAF) between January 1, 2008, and December 31, 2010, and the other comprising incident ESRD cases with an ESRD onset date between January 1, 2011, and December 31, 2013. These date ranges were selected to ensure a sufficient sample of individuals receiving dialysis care both before and after the 2011 reform, allowing enough time for the dialysis modalities to potentially impact mortality rates.</w:t>
      </w:r>
    </w:p>
    <w:p w14:paraId="6FF7434B" w14:textId="77777777" w:rsidR="00D7633B" w:rsidRPr="008242E7" w:rsidRDefault="00D7633B" w:rsidP="00D7633B">
      <w:pPr>
        <w:rPr>
          <w:iCs/>
          <w:highlight w:val="white"/>
          <w:lang w:val="en-US"/>
        </w:rPr>
      </w:pPr>
    </w:p>
    <w:p w14:paraId="58CD32B2" w14:textId="77777777" w:rsidR="00D7633B" w:rsidRPr="00D7633B" w:rsidRDefault="00D7633B" w:rsidP="00D7633B">
      <w:pPr>
        <w:rPr>
          <w:b/>
          <w:bCs/>
          <w:iCs/>
          <w:highlight w:val="white"/>
          <w:lang w:val="en-US"/>
        </w:rPr>
      </w:pPr>
      <w:r w:rsidRPr="00D7633B">
        <w:rPr>
          <w:b/>
          <w:bCs/>
          <w:iCs/>
          <w:highlight w:val="white"/>
          <w:lang w:val="en-US"/>
        </w:rPr>
        <w:t>Inclusion and Exclusion Criteria for Study Cohorts:</w:t>
      </w:r>
    </w:p>
    <w:p w14:paraId="531EB526" w14:textId="77777777" w:rsidR="00D7633B" w:rsidRPr="00D7633B" w:rsidRDefault="00D7633B" w:rsidP="00D7633B">
      <w:pPr>
        <w:rPr>
          <w:iCs/>
          <w:highlight w:val="white"/>
          <w:lang w:val="en-US"/>
        </w:rPr>
      </w:pPr>
      <w:r w:rsidRPr="00D7633B">
        <w:rPr>
          <w:iCs/>
          <w:highlight w:val="white"/>
          <w:lang w:val="en-US"/>
        </w:rPr>
        <w:t>The following inclusion and exclusion criteria were applied to select individuals for the study cohorts:</w:t>
      </w:r>
    </w:p>
    <w:p w14:paraId="5C184E84" w14:textId="77777777" w:rsidR="00D7633B" w:rsidRPr="00D7633B" w:rsidRDefault="00D7633B" w:rsidP="00D7633B">
      <w:pPr>
        <w:numPr>
          <w:ilvl w:val="0"/>
          <w:numId w:val="42"/>
        </w:numPr>
        <w:rPr>
          <w:iCs/>
          <w:highlight w:val="white"/>
          <w:lang w:val="en-US"/>
        </w:rPr>
      </w:pPr>
      <w:r w:rsidRPr="00D7633B">
        <w:rPr>
          <w:b/>
          <w:bCs/>
          <w:iCs/>
          <w:highlight w:val="white"/>
          <w:lang w:val="en-US"/>
        </w:rPr>
        <w:t>Demographic Data:</w:t>
      </w:r>
      <w:r w:rsidRPr="00D7633B">
        <w:rPr>
          <w:iCs/>
          <w:highlight w:val="white"/>
          <w:lang w:val="en-US"/>
        </w:rPr>
        <w:t xml:space="preserve"> Individuals had to have a corresponding claim in the </w:t>
      </w:r>
      <w:proofErr w:type="gramStart"/>
      <w:r w:rsidRPr="00D7633B">
        <w:rPr>
          <w:b/>
          <w:bCs/>
          <w:iCs/>
          <w:highlight w:val="white"/>
          <w:lang w:val="en-US"/>
        </w:rPr>
        <w:t>Chronic Kidney Disease</w:t>
      </w:r>
      <w:proofErr w:type="gramEnd"/>
      <w:r w:rsidRPr="00D7633B">
        <w:rPr>
          <w:b/>
          <w:bCs/>
          <w:iCs/>
          <w:highlight w:val="white"/>
          <w:lang w:val="en-US"/>
        </w:rPr>
        <w:t xml:space="preserve"> (CKD) Patient Master File SAF</w:t>
      </w:r>
      <w:r w:rsidRPr="00D7633B">
        <w:rPr>
          <w:iCs/>
          <w:highlight w:val="white"/>
          <w:lang w:val="en-US"/>
        </w:rPr>
        <w:t>, as this was the primary source for demographic information (e.g., sex, race) needed for the analysis.</w:t>
      </w:r>
    </w:p>
    <w:p w14:paraId="2B890462" w14:textId="77777777" w:rsidR="00D7633B" w:rsidRPr="00D7633B" w:rsidRDefault="00D7633B" w:rsidP="00D7633B">
      <w:pPr>
        <w:numPr>
          <w:ilvl w:val="0"/>
          <w:numId w:val="42"/>
        </w:numPr>
        <w:rPr>
          <w:iCs/>
          <w:highlight w:val="white"/>
          <w:lang w:val="en-US"/>
        </w:rPr>
      </w:pPr>
      <w:r w:rsidRPr="00D7633B">
        <w:rPr>
          <w:b/>
          <w:bCs/>
          <w:iCs/>
          <w:highlight w:val="white"/>
          <w:lang w:val="en-US"/>
        </w:rPr>
        <w:t>Medicare Eligibility:</w:t>
      </w:r>
      <w:r w:rsidRPr="00D7633B">
        <w:rPr>
          <w:iCs/>
          <w:highlight w:val="white"/>
          <w:lang w:val="en-US"/>
        </w:rPr>
        <w:t xml:space="preserve"> Only individuals in the </w:t>
      </w:r>
      <w:r w:rsidRPr="00D7633B">
        <w:rPr>
          <w:b/>
          <w:bCs/>
          <w:iCs/>
          <w:highlight w:val="white"/>
          <w:lang w:val="en-US"/>
        </w:rPr>
        <w:t>5% Medicare sample</w:t>
      </w:r>
      <w:r w:rsidRPr="00D7633B">
        <w:rPr>
          <w:iCs/>
          <w:highlight w:val="white"/>
          <w:lang w:val="en-US"/>
        </w:rPr>
        <w:t xml:space="preserve"> were included in the study.</w:t>
      </w:r>
    </w:p>
    <w:p w14:paraId="4279E2B1" w14:textId="77777777" w:rsidR="00D7633B" w:rsidRPr="00D7633B" w:rsidRDefault="00D7633B" w:rsidP="00D7633B">
      <w:pPr>
        <w:numPr>
          <w:ilvl w:val="0"/>
          <w:numId w:val="42"/>
        </w:numPr>
        <w:rPr>
          <w:iCs/>
          <w:highlight w:val="white"/>
          <w:lang w:val="en-US"/>
        </w:rPr>
      </w:pPr>
      <w:r w:rsidRPr="00D7633B">
        <w:rPr>
          <w:b/>
          <w:bCs/>
          <w:iCs/>
          <w:highlight w:val="white"/>
          <w:lang w:val="en-US"/>
        </w:rPr>
        <w:t>Prior CKD Care:</w:t>
      </w:r>
      <w:r w:rsidRPr="00D7633B">
        <w:rPr>
          <w:iCs/>
          <w:highlight w:val="white"/>
          <w:lang w:val="en-US"/>
        </w:rPr>
        <w:t xml:space="preserve"> Participants had to be receiving Medicare coverage for </w:t>
      </w:r>
      <w:proofErr w:type="gramStart"/>
      <w:r w:rsidRPr="00D7633B">
        <w:rPr>
          <w:b/>
          <w:bCs/>
          <w:iCs/>
          <w:highlight w:val="white"/>
          <w:lang w:val="en-US"/>
        </w:rPr>
        <w:t>Chronic Kidney Disease</w:t>
      </w:r>
      <w:proofErr w:type="gramEnd"/>
      <w:r w:rsidRPr="00D7633B">
        <w:rPr>
          <w:b/>
          <w:bCs/>
          <w:iCs/>
          <w:highlight w:val="white"/>
          <w:lang w:val="en-US"/>
        </w:rPr>
        <w:t xml:space="preserve"> (CKD)</w:t>
      </w:r>
      <w:r w:rsidRPr="00D7633B">
        <w:rPr>
          <w:iCs/>
          <w:highlight w:val="white"/>
          <w:lang w:val="en-US"/>
        </w:rPr>
        <w:t xml:space="preserve"> prior to their ESRD onset date, with available ESRD onset information.</w:t>
      </w:r>
    </w:p>
    <w:p w14:paraId="58FA77E4" w14:textId="77777777" w:rsidR="00D7633B" w:rsidRPr="00D7633B" w:rsidRDefault="00D7633B" w:rsidP="00D7633B">
      <w:pPr>
        <w:numPr>
          <w:ilvl w:val="0"/>
          <w:numId w:val="42"/>
        </w:numPr>
        <w:rPr>
          <w:iCs/>
          <w:highlight w:val="white"/>
          <w:lang w:val="en-US"/>
        </w:rPr>
      </w:pPr>
      <w:r w:rsidRPr="00D7633B">
        <w:rPr>
          <w:b/>
          <w:bCs/>
          <w:iCs/>
          <w:highlight w:val="white"/>
          <w:lang w:val="en-US"/>
        </w:rPr>
        <w:t>Incident ESRD Cases:</w:t>
      </w:r>
      <w:r w:rsidRPr="00D7633B">
        <w:rPr>
          <w:iCs/>
          <w:highlight w:val="white"/>
          <w:lang w:val="en-US"/>
        </w:rPr>
        <w:t xml:space="preserve"> Only incident cases of ESRD were included in the study.</w:t>
      </w:r>
    </w:p>
    <w:p w14:paraId="1BD64CA2" w14:textId="77777777" w:rsidR="00D7633B" w:rsidRPr="00D7633B" w:rsidRDefault="00D7633B" w:rsidP="00D7633B">
      <w:pPr>
        <w:numPr>
          <w:ilvl w:val="0"/>
          <w:numId w:val="42"/>
        </w:numPr>
        <w:rPr>
          <w:iCs/>
          <w:highlight w:val="white"/>
          <w:lang w:val="en-US"/>
        </w:rPr>
      </w:pPr>
      <w:r w:rsidRPr="00D7633B">
        <w:rPr>
          <w:b/>
          <w:bCs/>
          <w:iCs/>
          <w:highlight w:val="white"/>
          <w:lang w:val="en-US"/>
        </w:rPr>
        <w:t>Missing Dialysis Modality Information:</w:t>
      </w:r>
      <w:r w:rsidRPr="00D7633B">
        <w:rPr>
          <w:iCs/>
          <w:highlight w:val="white"/>
          <w:lang w:val="en-US"/>
        </w:rPr>
        <w:t xml:space="preserve"> Individuals without any dialysis modality listed in the claims data were excluded.</w:t>
      </w:r>
    </w:p>
    <w:p w14:paraId="07469E6C" w14:textId="77777777" w:rsidR="00D7633B" w:rsidRPr="00D7633B" w:rsidRDefault="00D7633B" w:rsidP="00D7633B">
      <w:pPr>
        <w:numPr>
          <w:ilvl w:val="0"/>
          <w:numId w:val="42"/>
        </w:numPr>
        <w:rPr>
          <w:iCs/>
          <w:highlight w:val="white"/>
          <w:lang w:val="en-US"/>
        </w:rPr>
      </w:pPr>
      <w:r w:rsidRPr="00D7633B">
        <w:rPr>
          <w:b/>
          <w:bCs/>
          <w:iCs/>
          <w:highlight w:val="white"/>
          <w:lang w:val="en-US"/>
        </w:rPr>
        <w:t>Incomplete Modality Information:</w:t>
      </w:r>
      <w:r w:rsidRPr="00D7633B">
        <w:rPr>
          <w:iCs/>
          <w:highlight w:val="white"/>
          <w:lang w:val="en-US"/>
        </w:rPr>
        <w:t xml:space="preserve"> For individuals with missing or undetermined dialysis modality information in some claims, the most recent valid modality was carried forward for missing entries. This process resulted in the removal of </w:t>
      </w:r>
      <w:r w:rsidRPr="00D7633B">
        <w:rPr>
          <w:b/>
          <w:bCs/>
          <w:iCs/>
          <w:highlight w:val="white"/>
          <w:lang w:val="en-US"/>
        </w:rPr>
        <w:t>5,274</w:t>
      </w:r>
      <w:r w:rsidRPr="00D7633B">
        <w:rPr>
          <w:iCs/>
          <w:highlight w:val="white"/>
          <w:lang w:val="en-US"/>
        </w:rPr>
        <w:t xml:space="preserve"> individuals out of </w:t>
      </w:r>
      <w:r w:rsidRPr="00D7633B">
        <w:rPr>
          <w:b/>
          <w:bCs/>
          <w:iCs/>
          <w:highlight w:val="white"/>
          <w:lang w:val="en-US"/>
        </w:rPr>
        <w:t>29,455</w:t>
      </w:r>
      <w:r w:rsidRPr="00D7633B">
        <w:rPr>
          <w:iCs/>
          <w:highlight w:val="white"/>
          <w:lang w:val="en-US"/>
        </w:rPr>
        <w:t xml:space="preserve"> with ESRD onset dates during the study period.</w:t>
      </w:r>
    </w:p>
    <w:p w14:paraId="3B385839" w14:textId="77777777" w:rsidR="00D7633B" w:rsidRPr="00D7633B" w:rsidRDefault="00D7633B" w:rsidP="00D7633B">
      <w:pPr>
        <w:numPr>
          <w:ilvl w:val="0"/>
          <w:numId w:val="42"/>
        </w:numPr>
        <w:rPr>
          <w:iCs/>
          <w:highlight w:val="white"/>
          <w:lang w:val="en-US"/>
        </w:rPr>
      </w:pPr>
      <w:r w:rsidRPr="00D7633B">
        <w:rPr>
          <w:b/>
          <w:bCs/>
          <w:iCs/>
          <w:highlight w:val="white"/>
          <w:lang w:val="en-US"/>
        </w:rPr>
        <w:t>Missing Comorbidity Data:</w:t>
      </w:r>
      <w:r w:rsidRPr="00D7633B">
        <w:rPr>
          <w:iCs/>
          <w:highlight w:val="white"/>
          <w:lang w:val="en-US"/>
        </w:rPr>
        <w:t xml:space="preserve"> Individuals who did not have a record in the </w:t>
      </w:r>
      <w:r w:rsidRPr="00D7633B">
        <w:rPr>
          <w:b/>
          <w:bCs/>
          <w:iCs/>
          <w:highlight w:val="white"/>
          <w:lang w:val="en-US"/>
        </w:rPr>
        <w:t>CKD Core Comorbidities SAFs</w:t>
      </w:r>
      <w:r w:rsidRPr="00D7633B">
        <w:rPr>
          <w:iCs/>
          <w:highlight w:val="white"/>
          <w:lang w:val="en-US"/>
        </w:rPr>
        <w:t xml:space="preserve"> were excluded, as it was assumed that all ESRD patients should have associated comorbidities. Missing comorbidity data might indicate incomplete records, leading to the removal of </w:t>
      </w:r>
      <w:r w:rsidRPr="00D7633B">
        <w:rPr>
          <w:b/>
          <w:bCs/>
          <w:iCs/>
          <w:highlight w:val="white"/>
          <w:lang w:val="en-US"/>
        </w:rPr>
        <w:t>60</w:t>
      </w:r>
      <w:r w:rsidRPr="00D7633B">
        <w:rPr>
          <w:iCs/>
          <w:highlight w:val="white"/>
          <w:lang w:val="en-US"/>
        </w:rPr>
        <w:t xml:space="preserve"> individuals out of </w:t>
      </w:r>
      <w:r w:rsidRPr="00D7633B">
        <w:rPr>
          <w:b/>
          <w:bCs/>
          <w:iCs/>
          <w:highlight w:val="white"/>
          <w:lang w:val="en-US"/>
        </w:rPr>
        <w:t>24,181</w:t>
      </w:r>
      <w:r w:rsidRPr="00D7633B">
        <w:rPr>
          <w:iCs/>
          <w:highlight w:val="white"/>
          <w:lang w:val="en-US"/>
        </w:rPr>
        <w:t>.</w:t>
      </w:r>
    </w:p>
    <w:p w14:paraId="7B9D4504" w14:textId="77777777" w:rsidR="00D7633B" w:rsidRPr="00D7633B" w:rsidRDefault="00D7633B" w:rsidP="00D7633B">
      <w:pPr>
        <w:numPr>
          <w:ilvl w:val="0"/>
          <w:numId w:val="42"/>
        </w:numPr>
        <w:rPr>
          <w:iCs/>
          <w:highlight w:val="white"/>
          <w:lang w:val="en-US"/>
        </w:rPr>
      </w:pPr>
      <w:r w:rsidRPr="00D7633B">
        <w:rPr>
          <w:b/>
          <w:bCs/>
          <w:iCs/>
          <w:highlight w:val="white"/>
          <w:lang w:val="en-US"/>
        </w:rPr>
        <w:t>Death and Modality Uncertainty:</w:t>
      </w:r>
      <w:r w:rsidRPr="00D7633B">
        <w:rPr>
          <w:iCs/>
          <w:highlight w:val="white"/>
          <w:lang w:val="en-US"/>
        </w:rPr>
        <w:t xml:space="preserve"> Individuals who died and whose last claim date occurred more than six months before their death date were excluded, based on the assumption that a modality switch might have occurred during the final six months of the study period, making the final modality uncertain. This resulted in the removal of </w:t>
      </w:r>
      <w:r w:rsidRPr="00D7633B">
        <w:rPr>
          <w:b/>
          <w:bCs/>
          <w:iCs/>
          <w:highlight w:val="white"/>
          <w:lang w:val="en-US"/>
        </w:rPr>
        <w:t>479</w:t>
      </w:r>
      <w:r w:rsidRPr="00D7633B">
        <w:rPr>
          <w:iCs/>
          <w:highlight w:val="white"/>
          <w:lang w:val="en-US"/>
        </w:rPr>
        <w:t xml:space="preserve"> individuals.</w:t>
      </w:r>
    </w:p>
    <w:p w14:paraId="6EBDB627" w14:textId="77777777" w:rsidR="00D7633B" w:rsidRPr="008242E7" w:rsidRDefault="00D7633B">
      <w:pPr>
        <w:rPr>
          <w:i/>
          <w:highlight w:val="white"/>
        </w:rPr>
      </w:pPr>
    </w:p>
    <w:p w14:paraId="5EB2706D" w14:textId="77777777" w:rsidR="0048080E" w:rsidRPr="0048080E" w:rsidRDefault="0048080E" w:rsidP="0048080E">
      <w:pPr>
        <w:rPr>
          <w:b/>
          <w:bCs/>
          <w:highlight w:val="white"/>
          <w:lang w:val="en-US"/>
        </w:rPr>
      </w:pPr>
      <w:r w:rsidRPr="0048080E">
        <w:rPr>
          <w:b/>
          <w:bCs/>
          <w:highlight w:val="white"/>
          <w:lang w:val="en-US"/>
        </w:rPr>
        <w:t>Data Processing Workflow:</w:t>
      </w:r>
    </w:p>
    <w:p w14:paraId="7E8FFD68" w14:textId="77777777" w:rsidR="0048080E" w:rsidRPr="0048080E" w:rsidRDefault="0048080E" w:rsidP="0048080E">
      <w:pPr>
        <w:rPr>
          <w:highlight w:val="white"/>
          <w:lang w:val="en-US"/>
        </w:rPr>
      </w:pPr>
      <w:r w:rsidRPr="0048080E">
        <w:rPr>
          <w:highlight w:val="white"/>
          <w:lang w:val="en-US"/>
        </w:rPr>
        <w:t>A combination of merging and filtering was employed to obtain a sample that met the study criteria:</w:t>
      </w:r>
    </w:p>
    <w:p w14:paraId="74F969A0" w14:textId="77777777" w:rsidR="0048080E" w:rsidRPr="0048080E" w:rsidRDefault="0048080E" w:rsidP="0048080E">
      <w:pPr>
        <w:numPr>
          <w:ilvl w:val="0"/>
          <w:numId w:val="43"/>
        </w:numPr>
        <w:rPr>
          <w:highlight w:val="white"/>
          <w:lang w:val="en-US"/>
        </w:rPr>
      </w:pPr>
      <w:r w:rsidRPr="0048080E">
        <w:rPr>
          <w:b/>
          <w:bCs/>
          <w:highlight w:val="white"/>
          <w:lang w:val="en-US"/>
        </w:rPr>
        <w:t>Cohort Creation:</w:t>
      </w:r>
    </w:p>
    <w:p w14:paraId="1F56203B" w14:textId="77777777" w:rsidR="0048080E" w:rsidRPr="0048080E" w:rsidRDefault="0048080E" w:rsidP="0048080E">
      <w:pPr>
        <w:numPr>
          <w:ilvl w:val="1"/>
          <w:numId w:val="43"/>
        </w:numPr>
        <w:rPr>
          <w:highlight w:val="white"/>
          <w:lang w:val="en-US"/>
        </w:rPr>
      </w:pPr>
      <w:r w:rsidRPr="0048080E">
        <w:rPr>
          <w:highlight w:val="white"/>
          <w:lang w:val="en-US"/>
        </w:rPr>
        <w:t xml:space="preserve">Load the </w:t>
      </w:r>
      <w:r w:rsidRPr="0048080E">
        <w:rPr>
          <w:b/>
          <w:bCs/>
          <w:highlight w:val="white"/>
          <w:lang w:val="en-US"/>
        </w:rPr>
        <w:t>Patient Core Master File</w:t>
      </w:r>
      <w:r w:rsidRPr="0048080E">
        <w:rPr>
          <w:highlight w:val="white"/>
          <w:lang w:val="en-US"/>
        </w:rPr>
        <w:t xml:space="preserve"> and filter it to include only individuals with ESRD onset dates between </w:t>
      </w:r>
      <w:r w:rsidRPr="0048080E">
        <w:rPr>
          <w:b/>
          <w:bCs/>
          <w:highlight w:val="white"/>
          <w:lang w:val="en-US"/>
        </w:rPr>
        <w:t>2008 and 2013</w:t>
      </w:r>
      <w:r w:rsidRPr="0048080E">
        <w:rPr>
          <w:highlight w:val="white"/>
          <w:lang w:val="en-US"/>
        </w:rPr>
        <w:t>.</w:t>
      </w:r>
    </w:p>
    <w:p w14:paraId="461F29B6" w14:textId="77777777" w:rsidR="0048080E" w:rsidRPr="0048080E" w:rsidRDefault="0048080E" w:rsidP="0048080E">
      <w:pPr>
        <w:numPr>
          <w:ilvl w:val="1"/>
          <w:numId w:val="43"/>
        </w:numPr>
        <w:rPr>
          <w:highlight w:val="white"/>
          <w:lang w:val="en-US"/>
        </w:rPr>
      </w:pPr>
      <w:r w:rsidRPr="0048080E">
        <w:rPr>
          <w:highlight w:val="white"/>
          <w:lang w:val="en-US"/>
        </w:rPr>
        <w:t xml:space="preserve">Add a new variable for </w:t>
      </w:r>
      <w:r w:rsidRPr="0048080E">
        <w:rPr>
          <w:b/>
          <w:bCs/>
          <w:highlight w:val="white"/>
          <w:lang w:val="en-US"/>
        </w:rPr>
        <w:t>cohort designation</w:t>
      </w:r>
      <w:r w:rsidRPr="0048080E">
        <w:rPr>
          <w:highlight w:val="white"/>
          <w:lang w:val="en-US"/>
        </w:rPr>
        <w:t>:</w:t>
      </w:r>
    </w:p>
    <w:p w14:paraId="34900063" w14:textId="77777777" w:rsidR="0048080E" w:rsidRPr="0048080E" w:rsidRDefault="0048080E" w:rsidP="0048080E">
      <w:pPr>
        <w:numPr>
          <w:ilvl w:val="2"/>
          <w:numId w:val="43"/>
        </w:numPr>
        <w:rPr>
          <w:highlight w:val="white"/>
          <w:lang w:val="en-US"/>
        </w:rPr>
      </w:pPr>
      <w:r w:rsidRPr="0048080E">
        <w:rPr>
          <w:highlight w:val="white"/>
          <w:lang w:val="en-US"/>
        </w:rPr>
        <w:t>ESRD onset between 2008-2010 = 0</w:t>
      </w:r>
    </w:p>
    <w:p w14:paraId="136BA491" w14:textId="77777777" w:rsidR="0048080E" w:rsidRPr="0048080E" w:rsidRDefault="0048080E" w:rsidP="0048080E">
      <w:pPr>
        <w:numPr>
          <w:ilvl w:val="2"/>
          <w:numId w:val="43"/>
        </w:numPr>
        <w:rPr>
          <w:highlight w:val="white"/>
          <w:lang w:val="en-US"/>
        </w:rPr>
      </w:pPr>
      <w:r w:rsidRPr="0048080E">
        <w:rPr>
          <w:highlight w:val="white"/>
          <w:lang w:val="en-US"/>
        </w:rPr>
        <w:t>ESRD onset between 2011-2013 = 1</w:t>
      </w:r>
    </w:p>
    <w:p w14:paraId="239516E9" w14:textId="77777777" w:rsidR="0048080E" w:rsidRPr="0048080E" w:rsidRDefault="0048080E" w:rsidP="0048080E">
      <w:pPr>
        <w:numPr>
          <w:ilvl w:val="0"/>
          <w:numId w:val="43"/>
        </w:numPr>
        <w:rPr>
          <w:highlight w:val="white"/>
          <w:lang w:val="en-US"/>
        </w:rPr>
      </w:pPr>
      <w:r w:rsidRPr="0048080E">
        <w:rPr>
          <w:b/>
          <w:bCs/>
          <w:highlight w:val="white"/>
          <w:lang w:val="en-US"/>
        </w:rPr>
        <w:t>Claims Data Processing:</w:t>
      </w:r>
    </w:p>
    <w:p w14:paraId="299CA005" w14:textId="77777777" w:rsidR="0048080E" w:rsidRPr="0048080E" w:rsidRDefault="0048080E" w:rsidP="0048080E">
      <w:pPr>
        <w:numPr>
          <w:ilvl w:val="1"/>
          <w:numId w:val="43"/>
        </w:numPr>
        <w:rPr>
          <w:highlight w:val="white"/>
          <w:lang w:val="en-US"/>
        </w:rPr>
      </w:pPr>
      <w:r w:rsidRPr="0048080E">
        <w:rPr>
          <w:highlight w:val="white"/>
          <w:lang w:val="en-US"/>
        </w:rPr>
        <w:t>Load and stack claims data for all six years, then perform the following initial cleanup steps:</w:t>
      </w:r>
    </w:p>
    <w:p w14:paraId="78B39C35" w14:textId="77777777" w:rsidR="0048080E" w:rsidRPr="0048080E" w:rsidRDefault="0048080E" w:rsidP="0048080E">
      <w:pPr>
        <w:numPr>
          <w:ilvl w:val="2"/>
          <w:numId w:val="43"/>
        </w:numPr>
        <w:rPr>
          <w:highlight w:val="white"/>
          <w:lang w:val="en-US"/>
        </w:rPr>
      </w:pPr>
      <w:r w:rsidRPr="0048080E">
        <w:rPr>
          <w:b/>
          <w:bCs/>
          <w:highlight w:val="white"/>
          <w:lang w:val="en-US"/>
        </w:rPr>
        <w:t>Remove duplicate records</w:t>
      </w:r>
      <w:r w:rsidRPr="0048080E">
        <w:rPr>
          <w:highlight w:val="white"/>
          <w:lang w:val="en-US"/>
        </w:rPr>
        <w:t>.</w:t>
      </w:r>
    </w:p>
    <w:p w14:paraId="1D7C8688" w14:textId="77777777" w:rsidR="0048080E" w:rsidRPr="0048080E" w:rsidRDefault="0048080E" w:rsidP="0048080E">
      <w:pPr>
        <w:numPr>
          <w:ilvl w:val="2"/>
          <w:numId w:val="43"/>
        </w:numPr>
        <w:rPr>
          <w:highlight w:val="white"/>
          <w:lang w:val="en-US"/>
        </w:rPr>
      </w:pPr>
      <w:r w:rsidRPr="0048080E">
        <w:rPr>
          <w:b/>
          <w:bCs/>
          <w:highlight w:val="white"/>
          <w:lang w:val="en-US"/>
        </w:rPr>
        <w:t>Exclude claims</w:t>
      </w:r>
      <w:r w:rsidRPr="0048080E">
        <w:rPr>
          <w:highlight w:val="white"/>
          <w:lang w:val="en-US"/>
        </w:rPr>
        <w:t xml:space="preserve"> that do not list any dialysis sessions (and thus no modality).</w:t>
      </w:r>
    </w:p>
    <w:p w14:paraId="4D41CAD3" w14:textId="77777777" w:rsidR="0048080E" w:rsidRPr="0048080E" w:rsidRDefault="0048080E" w:rsidP="0048080E">
      <w:pPr>
        <w:numPr>
          <w:ilvl w:val="2"/>
          <w:numId w:val="43"/>
        </w:numPr>
        <w:rPr>
          <w:highlight w:val="white"/>
          <w:lang w:val="en-US"/>
        </w:rPr>
      </w:pPr>
      <w:r w:rsidRPr="0048080E">
        <w:rPr>
          <w:highlight w:val="white"/>
          <w:lang w:val="en-US"/>
        </w:rPr>
        <w:t xml:space="preserve">For claims that report dialysis sessions but have </w:t>
      </w:r>
      <w:r w:rsidRPr="0048080E">
        <w:rPr>
          <w:b/>
          <w:bCs/>
          <w:highlight w:val="white"/>
          <w:lang w:val="en-US"/>
        </w:rPr>
        <w:t>missing or unknown modality</w:t>
      </w:r>
      <w:r w:rsidRPr="0048080E">
        <w:rPr>
          <w:highlight w:val="white"/>
          <w:lang w:val="en-US"/>
        </w:rPr>
        <w:t xml:space="preserve">, fill in the modality field with the most recent available modality, sequentially by date, for </w:t>
      </w:r>
      <w:proofErr w:type="gramStart"/>
      <w:r w:rsidRPr="0048080E">
        <w:rPr>
          <w:highlight w:val="white"/>
          <w:lang w:val="en-US"/>
        </w:rPr>
        <w:t>each individual</w:t>
      </w:r>
      <w:proofErr w:type="gramEnd"/>
      <w:r w:rsidRPr="0048080E">
        <w:rPr>
          <w:highlight w:val="white"/>
          <w:lang w:val="en-US"/>
        </w:rPr>
        <w:t xml:space="preserve"> (identified by </w:t>
      </w:r>
      <w:r w:rsidRPr="0048080E">
        <w:rPr>
          <w:b/>
          <w:bCs/>
          <w:highlight w:val="white"/>
          <w:lang w:val="en-US"/>
        </w:rPr>
        <w:t>USRDS_ID</w:t>
      </w:r>
      <w:r w:rsidRPr="0048080E">
        <w:rPr>
          <w:highlight w:val="white"/>
          <w:lang w:val="en-US"/>
        </w:rPr>
        <w:t>).</w:t>
      </w:r>
    </w:p>
    <w:p w14:paraId="700EDC10" w14:textId="77777777" w:rsidR="0048080E" w:rsidRPr="0048080E" w:rsidRDefault="0048080E" w:rsidP="0048080E">
      <w:pPr>
        <w:numPr>
          <w:ilvl w:val="2"/>
          <w:numId w:val="43"/>
        </w:numPr>
        <w:rPr>
          <w:highlight w:val="white"/>
          <w:lang w:val="en-US"/>
        </w:rPr>
      </w:pPr>
      <w:r w:rsidRPr="0048080E">
        <w:rPr>
          <w:b/>
          <w:bCs/>
          <w:highlight w:val="white"/>
          <w:lang w:val="en-US"/>
        </w:rPr>
        <w:t>Exclude individuals</w:t>
      </w:r>
      <w:r w:rsidRPr="0048080E">
        <w:rPr>
          <w:highlight w:val="white"/>
          <w:lang w:val="en-US"/>
        </w:rPr>
        <w:t xml:space="preserve"> who have dialysis </w:t>
      </w:r>
      <w:proofErr w:type="gramStart"/>
      <w:r w:rsidRPr="0048080E">
        <w:rPr>
          <w:highlight w:val="white"/>
          <w:lang w:val="en-US"/>
        </w:rPr>
        <w:t>sessions</w:t>
      </w:r>
      <w:proofErr w:type="gramEnd"/>
      <w:r w:rsidRPr="0048080E">
        <w:rPr>
          <w:highlight w:val="white"/>
          <w:lang w:val="en-US"/>
        </w:rPr>
        <w:t xml:space="preserve"> but no modality listed in any of their claims.</w:t>
      </w:r>
    </w:p>
    <w:p w14:paraId="051D42BC" w14:textId="01C5590D" w:rsidR="0048080E" w:rsidRPr="0048080E" w:rsidRDefault="0048080E" w:rsidP="0048080E">
      <w:pPr>
        <w:numPr>
          <w:ilvl w:val="2"/>
          <w:numId w:val="43"/>
        </w:numPr>
        <w:rPr>
          <w:highlight w:val="white"/>
          <w:lang w:val="en-US"/>
        </w:rPr>
      </w:pPr>
      <w:r w:rsidRPr="0048080E">
        <w:rPr>
          <w:b/>
          <w:bCs/>
          <w:highlight w:val="white"/>
          <w:lang w:val="en-US"/>
        </w:rPr>
        <w:t>Left</w:t>
      </w:r>
      <w:r w:rsidRPr="008242E7">
        <w:rPr>
          <w:b/>
          <w:bCs/>
          <w:highlight w:val="white"/>
          <w:lang w:val="en-US"/>
        </w:rPr>
        <w:t xml:space="preserve"> join</w:t>
      </w:r>
      <w:r w:rsidRPr="0048080E">
        <w:rPr>
          <w:highlight w:val="white"/>
          <w:lang w:val="en-US"/>
        </w:rPr>
        <w:t xml:space="preserve"> the claims file with cohort information from the Patient Core file, ensuring no duplicates are retained after merging. Then, remove any claims from </w:t>
      </w:r>
      <w:r w:rsidRPr="0048080E">
        <w:rPr>
          <w:b/>
          <w:bCs/>
          <w:highlight w:val="white"/>
          <w:lang w:val="en-US"/>
        </w:rPr>
        <w:t>cohort 0 (2008-2010)</w:t>
      </w:r>
      <w:r w:rsidRPr="0048080E">
        <w:rPr>
          <w:highlight w:val="white"/>
          <w:lang w:val="en-US"/>
        </w:rPr>
        <w:t xml:space="preserve"> that correspond to service dates after </w:t>
      </w:r>
      <w:r w:rsidRPr="0048080E">
        <w:rPr>
          <w:b/>
          <w:bCs/>
          <w:highlight w:val="white"/>
          <w:lang w:val="en-US"/>
        </w:rPr>
        <w:t>December 31, 2010</w:t>
      </w:r>
      <w:r w:rsidRPr="0048080E">
        <w:rPr>
          <w:highlight w:val="white"/>
          <w:lang w:val="en-US"/>
        </w:rPr>
        <w:t>.</w:t>
      </w:r>
    </w:p>
    <w:p w14:paraId="4E95CF95" w14:textId="77777777" w:rsidR="0048080E" w:rsidRPr="0048080E" w:rsidRDefault="0048080E" w:rsidP="0048080E">
      <w:pPr>
        <w:numPr>
          <w:ilvl w:val="0"/>
          <w:numId w:val="43"/>
        </w:numPr>
        <w:rPr>
          <w:highlight w:val="white"/>
          <w:lang w:val="en-US"/>
        </w:rPr>
      </w:pPr>
      <w:r w:rsidRPr="0048080E">
        <w:rPr>
          <w:b/>
          <w:bCs/>
          <w:highlight w:val="white"/>
          <w:lang w:val="en-US"/>
        </w:rPr>
        <w:t>Comorbidity and Diabetes Status Variables:</w:t>
      </w:r>
    </w:p>
    <w:p w14:paraId="64496430" w14:textId="77777777" w:rsidR="0048080E" w:rsidRPr="0048080E" w:rsidRDefault="0048080E" w:rsidP="0048080E">
      <w:pPr>
        <w:numPr>
          <w:ilvl w:val="1"/>
          <w:numId w:val="43"/>
        </w:numPr>
        <w:rPr>
          <w:highlight w:val="white"/>
          <w:lang w:val="en-US"/>
        </w:rPr>
      </w:pPr>
      <w:r w:rsidRPr="0048080E">
        <w:rPr>
          <w:highlight w:val="white"/>
          <w:lang w:val="en-US"/>
        </w:rPr>
        <w:t xml:space="preserve">Stack all </w:t>
      </w:r>
      <w:r w:rsidRPr="0048080E">
        <w:rPr>
          <w:b/>
          <w:bCs/>
          <w:highlight w:val="white"/>
          <w:lang w:val="en-US"/>
        </w:rPr>
        <w:t>Comorbidity Files</w:t>
      </w:r>
      <w:r w:rsidRPr="0048080E">
        <w:rPr>
          <w:highlight w:val="white"/>
          <w:lang w:val="en-US"/>
        </w:rPr>
        <w:t xml:space="preserve"> and create the following variables:</w:t>
      </w:r>
    </w:p>
    <w:p w14:paraId="6E957634" w14:textId="77777777" w:rsidR="0048080E" w:rsidRPr="0048080E" w:rsidRDefault="0048080E" w:rsidP="0048080E">
      <w:pPr>
        <w:numPr>
          <w:ilvl w:val="2"/>
          <w:numId w:val="43"/>
        </w:numPr>
        <w:rPr>
          <w:highlight w:val="white"/>
          <w:lang w:val="en-US"/>
        </w:rPr>
      </w:pPr>
      <w:r w:rsidRPr="0048080E">
        <w:rPr>
          <w:b/>
          <w:bCs/>
          <w:highlight w:val="white"/>
          <w:lang w:val="en-US"/>
        </w:rPr>
        <w:t>Count distinct comorbidities</w:t>
      </w:r>
      <w:r w:rsidRPr="0048080E">
        <w:rPr>
          <w:highlight w:val="white"/>
          <w:lang w:val="en-US"/>
        </w:rPr>
        <w:t xml:space="preserve"> (ICD-9 codes) for </w:t>
      </w:r>
      <w:proofErr w:type="gramStart"/>
      <w:r w:rsidRPr="0048080E">
        <w:rPr>
          <w:highlight w:val="white"/>
          <w:lang w:val="en-US"/>
        </w:rPr>
        <w:t>each individual</w:t>
      </w:r>
      <w:proofErr w:type="gramEnd"/>
      <w:r w:rsidRPr="0048080E">
        <w:rPr>
          <w:highlight w:val="white"/>
          <w:lang w:val="en-US"/>
        </w:rPr>
        <w:t xml:space="preserve"> by using a </w:t>
      </w:r>
      <w:r w:rsidRPr="0048080E">
        <w:rPr>
          <w:b/>
          <w:bCs/>
          <w:highlight w:val="white"/>
          <w:lang w:val="en-US"/>
        </w:rPr>
        <w:t>count function</w:t>
      </w:r>
      <w:r w:rsidRPr="0048080E">
        <w:rPr>
          <w:highlight w:val="white"/>
          <w:lang w:val="en-US"/>
        </w:rPr>
        <w:t xml:space="preserve"> based on the </w:t>
      </w:r>
      <w:r w:rsidRPr="0048080E">
        <w:rPr>
          <w:b/>
          <w:bCs/>
          <w:highlight w:val="white"/>
          <w:lang w:val="en-US"/>
        </w:rPr>
        <w:t>USRDS_ID</w:t>
      </w:r>
      <w:r w:rsidRPr="0048080E">
        <w:rPr>
          <w:highlight w:val="white"/>
          <w:lang w:val="en-US"/>
        </w:rPr>
        <w:t>.</w:t>
      </w:r>
    </w:p>
    <w:p w14:paraId="76E490E3" w14:textId="77777777" w:rsidR="0048080E" w:rsidRPr="0048080E" w:rsidRDefault="0048080E" w:rsidP="0048080E">
      <w:pPr>
        <w:numPr>
          <w:ilvl w:val="2"/>
          <w:numId w:val="43"/>
        </w:numPr>
        <w:rPr>
          <w:highlight w:val="white"/>
          <w:lang w:val="en-US"/>
        </w:rPr>
      </w:pPr>
      <w:r w:rsidRPr="0048080E">
        <w:rPr>
          <w:b/>
          <w:bCs/>
          <w:highlight w:val="white"/>
          <w:lang w:val="en-US"/>
        </w:rPr>
        <w:t>Inner join</w:t>
      </w:r>
      <w:r w:rsidRPr="0048080E">
        <w:rPr>
          <w:highlight w:val="white"/>
          <w:lang w:val="en-US"/>
        </w:rPr>
        <w:t xml:space="preserve"> the distinct comorbidity count file with the filtered Patient Core file to add the number of distinct comorbidities as a variable. Exclude individuals with no comorbidities listed in the comorbidity files.</w:t>
      </w:r>
    </w:p>
    <w:p w14:paraId="3997592A" w14:textId="77777777" w:rsidR="0048080E" w:rsidRPr="0048080E" w:rsidRDefault="0048080E" w:rsidP="0048080E">
      <w:pPr>
        <w:numPr>
          <w:ilvl w:val="2"/>
          <w:numId w:val="43"/>
        </w:numPr>
        <w:rPr>
          <w:highlight w:val="white"/>
          <w:lang w:val="en-US"/>
        </w:rPr>
      </w:pPr>
      <w:r w:rsidRPr="0048080E">
        <w:rPr>
          <w:highlight w:val="white"/>
          <w:lang w:val="en-US"/>
        </w:rPr>
        <w:t xml:space="preserve">Create an indicator variable for </w:t>
      </w:r>
      <w:r w:rsidRPr="0048080E">
        <w:rPr>
          <w:b/>
          <w:bCs/>
          <w:highlight w:val="white"/>
          <w:lang w:val="en-US"/>
        </w:rPr>
        <w:t>diabetes status</w:t>
      </w:r>
      <w:r w:rsidRPr="0048080E">
        <w:rPr>
          <w:highlight w:val="white"/>
          <w:lang w:val="en-US"/>
        </w:rPr>
        <w:t xml:space="preserve"> in the stacked comorbidities files using an "if, then" statement to identify ICD-9 codes associated with diabetes.</w:t>
      </w:r>
    </w:p>
    <w:p w14:paraId="7E446E1B" w14:textId="77777777" w:rsidR="0048080E" w:rsidRPr="0048080E" w:rsidRDefault="0048080E" w:rsidP="0048080E">
      <w:pPr>
        <w:numPr>
          <w:ilvl w:val="2"/>
          <w:numId w:val="43"/>
        </w:numPr>
        <w:rPr>
          <w:highlight w:val="white"/>
          <w:lang w:val="en-US"/>
        </w:rPr>
      </w:pPr>
      <w:r w:rsidRPr="0048080E">
        <w:rPr>
          <w:b/>
          <w:bCs/>
          <w:highlight w:val="white"/>
          <w:lang w:val="en-US"/>
        </w:rPr>
        <w:t>Collapse</w:t>
      </w:r>
      <w:r w:rsidRPr="0048080E">
        <w:rPr>
          <w:highlight w:val="white"/>
          <w:lang w:val="en-US"/>
        </w:rPr>
        <w:t xml:space="preserve"> the diabetes indicator variable to one line per person by summing the number of “</w:t>
      </w:r>
      <w:proofErr w:type="gramStart"/>
      <w:r w:rsidRPr="0048080E">
        <w:rPr>
          <w:highlight w:val="white"/>
          <w:lang w:val="en-US"/>
        </w:rPr>
        <w:t>1”s</w:t>
      </w:r>
      <w:proofErr w:type="gramEnd"/>
      <w:r w:rsidRPr="0048080E">
        <w:rPr>
          <w:highlight w:val="white"/>
          <w:lang w:val="en-US"/>
        </w:rPr>
        <w:t xml:space="preserve"> for any diabetes-related ICD-9 codes. Replace any value greater than 0 with a “1” to create a file where </w:t>
      </w:r>
      <w:proofErr w:type="gramStart"/>
      <w:r w:rsidRPr="0048080E">
        <w:rPr>
          <w:highlight w:val="white"/>
          <w:lang w:val="en-US"/>
        </w:rPr>
        <w:t>each individual</w:t>
      </w:r>
      <w:proofErr w:type="gramEnd"/>
      <w:r w:rsidRPr="0048080E">
        <w:rPr>
          <w:highlight w:val="white"/>
          <w:lang w:val="en-US"/>
        </w:rPr>
        <w:t xml:space="preserve"> has a diabetes status of “1” if they had a diabetes-related code listed.</w:t>
      </w:r>
    </w:p>
    <w:p w14:paraId="2240F773" w14:textId="1A1180F0" w:rsidR="0048080E" w:rsidRPr="0048080E" w:rsidRDefault="0048080E" w:rsidP="0048080E">
      <w:pPr>
        <w:numPr>
          <w:ilvl w:val="2"/>
          <w:numId w:val="43"/>
        </w:numPr>
        <w:rPr>
          <w:highlight w:val="white"/>
          <w:lang w:val="en-US"/>
        </w:rPr>
      </w:pPr>
      <w:r w:rsidRPr="0048080E">
        <w:rPr>
          <w:b/>
          <w:bCs/>
          <w:highlight w:val="white"/>
          <w:lang w:val="en-US"/>
        </w:rPr>
        <w:t>Left</w:t>
      </w:r>
      <w:r w:rsidRPr="008242E7">
        <w:rPr>
          <w:b/>
          <w:bCs/>
          <w:highlight w:val="white"/>
          <w:lang w:val="en-US"/>
        </w:rPr>
        <w:t xml:space="preserve"> </w:t>
      </w:r>
      <w:r w:rsidRPr="0048080E">
        <w:rPr>
          <w:b/>
          <w:bCs/>
          <w:highlight w:val="white"/>
          <w:lang w:val="en-US"/>
        </w:rPr>
        <w:t>join</w:t>
      </w:r>
      <w:r w:rsidRPr="0048080E">
        <w:rPr>
          <w:highlight w:val="white"/>
          <w:lang w:val="en-US"/>
        </w:rPr>
        <w:t xml:space="preserve"> the diabetes status indicator file with the Patient Core file to add diabetes status for </w:t>
      </w:r>
      <w:proofErr w:type="gramStart"/>
      <w:r w:rsidRPr="0048080E">
        <w:rPr>
          <w:highlight w:val="white"/>
          <w:lang w:val="en-US"/>
        </w:rPr>
        <w:t>each individual</w:t>
      </w:r>
      <w:proofErr w:type="gramEnd"/>
      <w:r w:rsidRPr="0048080E">
        <w:rPr>
          <w:highlight w:val="white"/>
          <w:lang w:val="en-US"/>
        </w:rPr>
        <w:t>.</w:t>
      </w:r>
    </w:p>
    <w:p w14:paraId="3161B126" w14:textId="77777777" w:rsidR="0048080E" w:rsidRPr="0048080E" w:rsidRDefault="0048080E" w:rsidP="0048080E">
      <w:pPr>
        <w:numPr>
          <w:ilvl w:val="0"/>
          <w:numId w:val="43"/>
        </w:numPr>
        <w:rPr>
          <w:highlight w:val="white"/>
          <w:lang w:val="en-US"/>
        </w:rPr>
      </w:pPr>
      <w:r w:rsidRPr="0048080E">
        <w:rPr>
          <w:b/>
          <w:bCs/>
          <w:highlight w:val="white"/>
          <w:lang w:val="en-US"/>
        </w:rPr>
        <w:t>Filtering Individuals Based on Death Date and Last Claim Date:</w:t>
      </w:r>
    </w:p>
    <w:p w14:paraId="0BD5C564" w14:textId="77777777" w:rsidR="0048080E" w:rsidRPr="0048080E" w:rsidRDefault="0048080E" w:rsidP="0048080E">
      <w:pPr>
        <w:numPr>
          <w:ilvl w:val="1"/>
          <w:numId w:val="43"/>
        </w:numPr>
        <w:rPr>
          <w:highlight w:val="white"/>
          <w:lang w:val="en-US"/>
        </w:rPr>
      </w:pPr>
      <w:r w:rsidRPr="0048080E">
        <w:rPr>
          <w:highlight w:val="white"/>
          <w:lang w:val="en-US"/>
        </w:rPr>
        <w:t>To filter out individuals whose last claim date was not within six months of their death date (assuming they died), follow these steps:</w:t>
      </w:r>
    </w:p>
    <w:p w14:paraId="230244DA" w14:textId="77777777" w:rsidR="0048080E" w:rsidRPr="0048080E" w:rsidRDefault="0048080E" w:rsidP="0048080E">
      <w:pPr>
        <w:numPr>
          <w:ilvl w:val="2"/>
          <w:numId w:val="43"/>
        </w:numPr>
        <w:rPr>
          <w:highlight w:val="white"/>
          <w:lang w:val="en-US"/>
        </w:rPr>
      </w:pPr>
      <w:r w:rsidRPr="0048080E">
        <w:rPr>
          <w:b/>
          <w:bCs/>
          <w:highlight w:val="white"/>
          <w:lang w:val="en-US"/>
        </w:rPr>
        <w:t>Order</w:t>
      </w:r>
      <w:r w:rsidRPr="0048080E">
        <w:rPr>
          <w:highlight w:val="white"/>
          <w:lang w:val="en-US"/>
        </w:rPr>
        <w:t xml:space="preserve"> the claims files by </w:t>
      </w:r>
      <w:r w:rsidRPr="0048080E">
        <w:rPr>
          <w:b/>
          <w:bCs/>
          <w:highlight w:val="white"/>
          <w:lang w:val="en-US"/>
        </w:rPr>
        <w:t>USRDS_ID</w:t>
      </w:r>
      <w:r w:rsidRPr="0048080E">
        <w:rPr>
          <w:highlight w:val="white"/>
          <w:lang w:val="en-US"/>
        </w:rPr>
        <w:t xml:space="preserve"> and </w:t>
      </w:r>
      <w:r w:rsidRPr="0048080E">
        <w:rPr>
          <w:b/>
          <w:bCs/>
          <w:highlight w:val="white"/>
          <w:lang w:val="en-US"/>
        </w:rPr>
        <w:t>CLM_THRU</w:t>
      </w:r>
      <w:r w:rsidRPr="0048080E">
        <w:rPr>
          <w:highlight w:val="white"/>
          <w:lang w:val="en-US"/>
        </w:rPr>
        <w:t xml:space="preserve"> date.</w:t>
      </w:r>
    </w:p>
    <w:p w14:paraId="29182987" w14:textId="77777777" w:rsidR="0048080E" w:rsidRPr="0048080E" w:rsidRDefault="0048080E" w:rsidP="0048080E">
      <w:pPr>
        <w:numPr>
          <w:ilvl w:val="2"/>
          <w:numId w:val="43"/>
        </w:numPr>
        <w:rPr>
          <w:highlight w:val="white"/>
          <w:lang w:val="en-US"/>
        </w:rPr>
      </w:pPr>
      <w:r w:rsidRPr="0048080E">
        <w:rPr>
          <w:highlight w:val="white"/>
          <w:lang w:val="en-US"/>
        </w:rPr>
        <w:t xml:space="preserve">Create a column that identifies the </w:t>
      </w:r>
      <w:r w:rsidRPr="0048080E">
        <w:rPr>
          <w:b/>
          <w:bCs/>
          <w:highlight w:val="white"/>
          <w:lang w:val="en-US"/>
        </w:rPr>
        <w:t>last claim date</w:t>
      </w:r>
      <w:r w:rsidRPr="0048080E">
        <w:rPr>
          <w:highlight w:val="white"/>
          <w:lang w:val="en-US"/>
        </w:rPr>
        <w:t xml:space="preserve"> for </w:t>
      </w:r>
      <w:proofErr w:type="gramStart"/>
      <w:r w:rsidRPr="0048080E">
        <w:rPr>
          <w:highlight w:val="white"/>
          <w:lang w:val="en-US"/>
        </w:rPr>
        <w:t>each individual</w:t>
      </w:r>
      <w:proofErr w:type="gramEnd"/>
      <w:r w:rsidRPr="0048080E">
        <w:rPr>
          <w:highlight w:val="white"/>
          <w:lang w:val="en-US"/>
        </w:rPr>
        <w:t>.</w:t>
      </w:r>
    </w:p>
    <w:p w14:paraId="1EFDDAB7" w14:textId="77777777" w:rsidR="0048080E" w:rsidRPr="0048080E" w:rsidRDefault="0048080E" w:rsidP="0048080E">
      <w:pPr>
        <w:numPr>
          <w:ilvl w:val="2"/>
          <w:numId w:val="43"/>
        </w:numPr>
        <w:rPr>
          <w:highlight w:val="white"/>
          <w:lang w:val="en-US"/>
        </w:rPr>
      </w:pPr>
      <w:r w:rsidRPr="0048080E">
        <w:rPr>
          <w:b/>
          <w:bCs/>
          <w:highlight w:val="white"/>
          <w:lang w:val="en-US"/>
        </w:rPr>
        <w:t>Left join</w:t>
      </w:r>
      <w:r w:rsidRPr="0048080E">
        <w:rPr>
          <w:highlight w:val="white"/>
          <w:lang w:val="en-US"/>
        </w:rPr>
        <w:t xml:space="preserve"> the Patient Core file with the claims file to import the last claim date column.</w:t>
      </w:r>
    </w:p>
    <w:p w14:paraId="0BBC5A94" w14:textId="77777777" w:rsidR="0048080E" w:rsidRPr="0048080E" w:rsidRDefault="0048080E" w:rsidP="0048080E">
      <w:pPr>
        <w:numPr>
          <w:ilvl w:val="2"/>
          <w:numId w:val="43"/>
        </w:numPr>
        <w:rPr>
          <w:highlight w:val="white"/>
          <w:lang w:val="en-US"/>
        </w:rPr>
      </w:pPr>
      <w:r w:rsidRPr="0048080E">
        <w:rPr>
          <w:highlight w:val="white"/>
          <w:lang w:val="en-US"/>
        </w:rPr>
        <w:t xml:space="preserve">Calculate the number of </w:t>
      </w:r>
      <w:r w:rsidRPr="0048080E">
        <w:rPr>
          <w:b/>
          <w:bCs/>
          <w:highlight w:val="white"/>
          <w:lang w:val="en-US"/>
        </w:rPr>
        <w:t>days between the death date</w:t>
      </w:r>
      <w:r w:rsidRPr="0048080E">
        <w:rPr>
          <w:highlight w:val="white"/>
          <w:lang w:val="en-US"/>
        </w:rPr>
        <w:t xml:space="preserve"> and the final claim date.</w:t>
      </w:r>
    </w:p>
    <w:p w14:paraId="53EB86CD" w14:textId="77777777" w:rsidR="0048080E" w:rsidRPr="0048080E" w:rsidRDefault="0048080E" w:rsidP="0048080E">
      <w:pPr>
        <w:numPr>
          <w:ilvl w:val="2"/>
          <w:numId w:val="43"/>
        </w:numPr>
        <w:rPr>
          <w:highlight w:val="white"/>
          <w:lang w:val="en-US"/>
        </w:rPr>
      </w:pPr>
      <w:r w:rsidRPr="0048080E">
        <w:rPr>
          <w:b/>
          <w:bCs/>
          <w:highlight w:val="white"/>
          <w:lang w:val="en-US"/>
        </w:rPr>
        <w:t>Filter out</w:t>
      </w:r>
      <w:r w:rsidRPr="0048080E">
        <w:rPr>
          <w:highlight w:val="white"/>
          <w:lang w:val="en-US"/>
        </w:rPr>
        <w:t xml:space="preserve"> any rows where the difference between the last claim date and death date is greater than 180 days, after checking key study characteristics using </w:t>
      </w:r>
      <w:r w:rsidRPr="0048080E">
        <w:rPr>
          <w:b/>
          <w:bCs/>
          <w:highlight w:val="white"/>
          <w:lang w:val="en-US"/>
        </w:rPr>
        <w:t xml:space="preserve">proc </w:t>
      </w:r>
      <w:proofErr w:type="spellStart"/>
      <w:r w:rsidRPr="0048080E">
        <w:rPr>
          <w:b/>
          <w:bCs/>
          <w:highlight w:val="white"/>
          <w:lang w:val="en-US"/>
        </w:rPr>
        <w:t>freq</w:t>
      </w:r>
      <w:proofErr w:type="spellEnd"/>
      <w:r w:rsidRPr="0048080E">
        <w:rPr>
          <w:highlight w:val="white"/>
          <w:lang w:val="en-US"/>
        </w:rPr>
        <w:t xml:space="preserve"> to ensure no significant differences before and after filtering.</w:t>
      </w:r>
    </w:p>
    <w:p w14:paraId="008CA987" w14:textId="77777777" w:rsidR="003720EF" w:rsidRPr="008242E7" w:rsidRDefault="003720EF">
      <w:pPr>
        <w:rPr>
          <w:highlight w:val="white"/>
        </w:rPr>
      </w:pPr>
    </w:p>
    <w:p w14:paraId="575230F5" w14:textId="77777777" w:rsidR="0048080E" w:rsidRPr="0048080E" w:rsidRDefault="0048080E" w:rsidP="0048080E">
      <w:pPr>
        <w:rPr>
          <w:b/>
          <w:bCs/>
          <w:iCs/>
          <w:highlight w:val="white"/>
          <w:lang w:val="en-US"/>
        </w:rPr>
      </w:pPr>
      <w:r w:rsidRPr="0048080E">
        <w:rPr>
          <w:b/>
          <w:bCs/>
          <w:iCs/>
          <w:highlight w:val="white"/>
          <w:lang w:val="en-US"/>
        </w:rPr>
        <w:t>Dialysis Modality Classification</w:t>
      </w:r>
    </w:p>
    <w:p w14:paraId="072D129B" w14:textId="77777777" w:rsidR="0048080E" w:rsidRPr="0048080E" w:rsidRDefault="0048080E" w:rsidP="0048080E">
      <w:pPr>
        <w:rPr>
          <w:iCs/>
          <w:highlight w:val="white"/>
          <w:lang w:val="en-US"/>
        </w:rPr>
      </w:pPr>
      <w:r w:rsidRPr="0048080E">
        <w:rPr>
          <w:iCs/>
          <w:highlight w:val="white"/>
          <w:lang w:val="en-US"/>
        </w:rPr>
        <w:t>To classify individuals by dialysis modality, we developed a categorical variable that divides the sample into seven distinct groups based on their dialysis modality patterns during the study period:</w:t>
      </w:r>
    </w:p>
    <w:p w14:paraId="672F717D" w14:textId="77777777" w:rsidR="0048080E" w:rsidRPr="0048080E" w:rsidRDefault="0048080E" w:rsidP="0048080E">
      <w:pPr>
        <w:numPr>
          <w:ilvl w:val="0"/>
          <w:numId w:val="44"/>
        </w:numPr>
        <w:rPr>
          <w:iCs/>
          <w:highlight w:val="white"/>
          <w:lang w:val="en-US"/>
        </w:rPr>
      </w:pPr>
      <w:r w:rsidRPr="0048080E">
        <w:rPr>
          <w:b/>
          <w:bCs/>
          <w:iCs/>
          <w:highlight w:val="white"/>
          <w:lang w:val="en-US"/>
        </w:rPr>
        <w:t>Peritoneal-Only Group</w:t>
      </w:r>
      <w:r w:rsidRPr="0048080E">
        <w:rPr>
          <w:iCs/>
          <w:highlight w:val="white"/>
          <w:lang w:val="en-US"/>
        </w:rPr>
        <w:t>:</w:t>
      </w:r>
      <w:r w:rsidRPr="0048080E">
        <w:rPr>
          <w:iCs/>
          <w:highlight w:val="white"/>
          <w:lang w:val="en-US"/>
        </w:rPr>
        <w:br/>
        <w:t xml:space="preserve">This group includes individuals who began the study period on </w:t>
      </w:r>
      <w:r w:rsidRPr="0048080E">
        <w:rPr>
          <w:b/>
          <w:bCs/>
          <w:iCs/>
          <w:highlight w:val="white"/>
          <w:lang w:val="en-US"/>
        </w:rPr>
        <w:t>peritoneal dialysis (PD)</w:t>
      </w:r>
      <w:r w:rsidRPr="0048080E">
        <w:rPr>
          <w:iCs/>
          <w:highlight w:val="white"/>
          <w:lang w:val="en-US"/>
        </w:rPr>
        <w:t xml:space="preserve"> and remained on PD throughout. This status was assigned to individuals who only had claims listing PD modalities during the study period, even if they switched between different PD modalities. The PD modalities included in the analysis were </w:t>
      </w:r>
      <w:r w:rsidRPr="0048080E">
        <w:rPr>
          <w:b/>
          <w:bCs/>
          <w:iCs/>
          <w:highlight w:val="white"/>
          <w:lang w:val="en-US"/>
        </w:rPr>
        <w:t>CAPD, CAPD training, CCPD, CCPD training, and other peritoneal</w:t>
      </w:r>
      <w:r w:rsidRPr="0048080E">
        <w:rPr>
          <w:iCs/>
          <w:highlight w:val="white"/>
          <w:lang w:val="en-US"/>
        </w:rPr>
        <w:t>. For the purposes of this study, all these modalities were grouped under the PD category.</w:t>
      </w:r>
    </w:p>
    <w:p w14:paraId="2221B68F" w14:textId="77777777" w:rsidR="0048080E" w:rsidRPr="0048080E" w:rsidRDefault="0048080E" w:rsidP="0048080E">
      <w:pPr>
        <w:numPr>
          <w:ilvl w:val="0"/>
          <w:numId w:val="44"/>
        </w:numPr>
        <w:rPr>
          <w:iCs/>
          <w:highlight w:val="white"/>
          <w:lang w:val="en-US"/>
        </w:rPr>
      </w:pPr>
      <w:r w:rsidRPr="0048080E">
        <w:rPr>
          <w:b/>
          <w:bCs/>
          <w:iCs/>
          <w:highlight w:val="white"/>
          <w:lang w:val="en-US"/>
        </w:rPr>
        <w:t>HD-Only Group</w:t>
      </w:r>
      <w:r w:rsidRPr="0048080E">
        <w:rPr>
          <w:iCs/>
          <w:highlight w:val="white"/>
          <w:lang w:val="en-US"/>
        </w:rPr>
        <w:t>:</w:t>
      </w:r>
      <w:r w:rsidRPr="0048080E">
        <w:rPr>
          <w:iCs/>
          <w:highlight w:val="white"/>
          <w:lang w:val="en-US"/>
        </w:rPr>
        <w:br/>
        <w:t xml:space="preserve">This group consists of individuals who started the study period on </w:t>
      </w:r>
      <w:r w:rsidRPr="0048080E">
        <w:rPr>
          <w:b/>
          <w:bCs/>
          <w:iCs/>
          <w:highlight w:val="white"/>
          <w:lang w:val="en-US"/>
        </w:rPr>
        <w:t>hemodialysis (HD)</w:t>
      </w:r>
      <w:r w:rsidRPr="0048080E">
        <w:rPr>
          <w:iCs/>
          <w:highlight w:val="white"/>
          <w:lang w:val="en-US"/>
        </w:rPr>
        <w:t xml:space="preserve"> and remained on HD throughout. Individuals in this group had claims with HD modalities listed throughout the study period, regardless of switching between different HD modalities. The HD modalities included were </w:t>
      </w:r>
      <w:r w:rsidRPr="0048080E">
        <w:rPr>
          <w:b/>
          <w:bCs/>
          <w:iCs/>
          <w:highlight w:val="white"/>
          <w:lang w:val="en-US"/>
        </w:rPr>
        <w:t>center hemodialysis, center self-hemodialysis, and home hemodialysis</w:t>
      </w:r>
      <w:r w:rsidRPr="0048080E">
        <w:rPr>
          <w:iCs/>
          <w:highlight w:val="white"/>
          <w:lang w:val="en-US"/>
        </w:rPr>
        <w:t>. These were all categorized as HD for the purpose of the study.</w:t>
      </w:r>
    </w:p>
    <w:p w14:paraId="02653FE1" w14:textId="77777777" w:rsidR="0048080E" w:rsidRPr="0048080E" w:rsidRDefault="0048080E" w:rsidP="0048080E">
      <w:pPr>
        <w:numPr>
          <w:ilvl w:val="0"/>
          <w:numId w:val="44"/>
        </w:numPr>
        <w:rPr>
          <w:iCs/>
          <w:highlight w:val="white"/>
          <w:lang w:val="en-US"/>
        </w:rPr>
      </w:pPr>
      <w:r w:rsidRPr="0048080E">
        <w:rPr>
          <w:b/>
          <w:bCs/>
          <w:iCs/>
          <w:highlight w:val="white"/>
          <w:lang w:val="en-US"/>
        </w:rPr>
        <w:t>Peritoneal Switcher Group</w:t>
      </w:r>
      <w:r w:rsidRPr="0048080E">
        <w:rPr>
          <w:iCs/>
          <w:highlight w:val="white"/>
          <w:lang w:val="en-US"/>
        </w:rPr>
        <w:t>:</w:t>
      </w:r>
      <w:r w:rsidRPr="0048080E">
        <w:rPr>
          <w:iCs/>
          <w:highlight w:val="white"/>
          <w:lang w:val="en-US"/>
        </w:rPr>
        <w:br/>
        <w:t>This group includes individuals who switched from HD to PD during the study period, but not in the final six months of their respective cohort's study period. For example, an individual who switched to PD in May 2010 and was part of the 2008-2010 cohort would be included in this group. Individuals in this group must have had at least six months of PD after switching from HD.</w:t>
      </w:r>
    </w:p>
    <w:p w14:paraId="0150497F" w14:textId="77777777" w:rsidR="0048080E" w:rsidRPr="0048080E" w:rsidRDefault="0048080E" w:rsidP="0048080E">
      <w:pPr>
        <w:numPr>
          <w:ilvl w:val="0"/>
          <w:numId w:val="44"/>
        </w:numPr>
        <w:rPr>
          <w:iCs/>
          <w:highlight w:val="white"/>
          <w:lang w:val="en-US"/>
        </w:rPr>
      </w:pPr>
      <w:r w:rsidRPr="0048080E">
        <w:rPr>
          <w:b/>
          <w:bCs/>
          <w:iCs/>
          <w:highlight w:val="white"/>
          <w:lang w:val="en-US"/>
        </w:rPr>
        <w:t>HD Switcher Group</w:t>
      </w:r>
      <w:r w:rsidRPr="0048080E">
        <w:rPr>
          <w:iCs/>
          <w:highlight w:val="white"/>
          <w:lang w:val="en-US"/>
        </w:rPr>
        <w:t>:</w:t>
      </w:r>
      <w:r w:rsidRPr="0048080E">
        <w:rPr>
          <w:iCs/>
          <w:highlight w:val="white"/>
          <w:lang w:val="en-US"/>
        </w:rPr>
        <w:br/>
        <w:t>This group consists of individuals who switched from PD to HD during the study period, but not in the final six months of their cohort's study period. Individuals in this group must have had at least six months of HD after switching from PD.</w:t>
      </w:r>
    </w:p>
    <w:p w14:paraId="00204DCE" w14:textId="77777777" w:rsidR="0048080E" w:rsidRPr="0048080E" w:rsidRDefault="0048080E" w:rsidP="0048080E">
      <w:pPr>
        <w:numPr>
          <w:ilvl w:val="0"/>
          <w:numId w:val="44"/>
        </w:numPr>
        <w:rPr>
          <w:iCs/>
          <w:highlight w:val="white"/>
          <w:lang w:val="en-US"/>
        </w:rPr>
      </w:pPr>
      <w:r w:rsidRPr="0048080E">
        <w:rPr>
          <w:b/>
          <w:bCs/>
          <w:iCs/>
          <w:highlight w:val="white"/>
          <w:lang w:val="en-US"/>
        </w:rPr>
        <w:t>PD Late Switch Group</w:t>
      </w:r>
      <w:r w:rsidRPr="0048080E">
        <w:rPr>
          <w:iCs/>
          <w:highlight w:val="white"/>
          <w:lang w:val="en-US"/>
        </w:rPr>
        <w:t>:</w:t>
      </w:r>
      <w:r w:rsidRPr="0048080E">
        <w:rPr>
          <w:iCs/>
          <w:highlight w:val="white"/>
          <w:lang w:val="en-US"/>
        </w:rPr>
        <w:br/>
        <w:t xml:space="preserve">This group includes individuals who switched from HD to PD in the </w:t>
      </w:r>
      <w:r w:rsidRPr="0048080E">
        <w:rPr>
          <w:b/>
          <w:bCs/>
          <w:iCs/>
          <w:highlight w:val="white"/>
          <w:lang w:val="en-US"/>
        </w:rPr>
        <w:t>last six months</w:t>
      </w:r>
      <w:r w:rsidRPr="0048080E">
        <w:rPr>
          <w:iCs/>
          <w:highlight w:val="white"/>
          <w:lang w:val="en-US"/>
        </w:rPr>
        <w:t xml:space="preserve"> of their study period. For instance, if an individual in the 2008-2010 cohort switched from HD to PD in September 2010, they would be included in this group.</w:t>
      </w:r>
    </w:p>
    <w:p w14:paraId="725598F1" w14:textId="77777777" w:rsidR="0048080E" w:rsidRPr="0048080E" w:rsidRDefault="0048080E" w:rsidP="0048080E">
      <w:pPr>
        <w:numPr>
          <w:ilvl w:val="0"/>
          <w:numId w:val="44"/>
        </w:numPr>
        <w:rPr>
          <w:iCs/>
          <w:highlight w:val="white"/>
          <w:lang w:val="en-US"/>
        </w:rPr>
      </w:pPr>
      <w:r w:rsidRPr="0048080E">
        <w:rPr>
          <w:b/>
          <w:bCs/>
          <w:iCs/>
          <w:highlight w:val="white"/>
          <w:lang w:val="en-US"/>
        </w:rPr>
        <w:t>HD Late Switch Group</w:t>
      </w:r>
      <w:r w:rsidRPr="0048080E">
        <w:rPr>
          <w:iCs/>
          <w:highlight w:val="white"/>
          <w:lang w:val="en-US"/>
        </w:rPr>
        <w:t>:</w:t>
      </w:r>
      <w:r w:rsidRPr="0048080E">
        <w:rPr>
          <w:iCs/>
          <w:highlight w:val="white"/>
          <w:lang w:val="en-US"/>
        </w:rPr>
        <w:br/>
        <w:t xml:space="preserve">This group includes individuals who switched from PD to HD in the </w:t>
      </w:r>
      <w:r w:rsidRPr="0048080E">
        <w:rPr>
          <w:b/>
          <w:bCs/>
          <w:iCs/>
          <w:highlight w:val="white"/>
          <w:lang w:val="en-US"/>
        </w:rPr>
        <w:t>final six months</w:t>
      </w:r>
      <w:r w:rsidRPr="0048080E">
        <w:rPr>
          <w:iCs/>
          <w:highlight w:val="white"/>
          <w:lang w:val="en-US"/>
        </w:rPr>
        <w:t xml:space="preserve"> of their study period.</w:t>
      </w:r>
    </w:p>
    <w:p w14:paraId="58D93CB5" w14:textId="77777777" w:rsidR="0048080E" w:rsidRPr="0048080E" w:rsidRDefault="0048080E" w:rsidP="0048080E">
      <w:pPr>
        <w:numPr>
          <w:ilvl w:val="0"/>
          <w:numId w:val="44"/>
        </w:numPr>
        <w:rPr>
          <w:iCs/>
          <w:highlight w:val="white"/>
          <w:lang w:val="en-US"/>
        </w:rPr>
      </w:pPr>
      <w:r w:rsidRPr="0048080E">
        <w:rPr>
          <w:b/>
          <w:bCs/>
          <w:iCs/>
          <w:highlight w:val="white"/>
          <w:lang w:val="en-US"/>
        </w:rPr>
        <w:t>More Than One Switch Group</w:t>
      </w:r>
      <w:r w:rsidRPr="0048080E">
        <w:rPr>
          <w:iCs/>
          <w:highlight w:val="white"/>
          <w:lang w:val="en-US"/>
        </w:rPr>
        <w:t>:</w:t>
      </w:r>
      <w:r w:rsidRPr="0048080E">
        <w:rPr>
          <w:iCs/>
          <w:highlight w:val="white"/>
          <w:lang w:val="en-US"/>
        </w:rPr>
        <w:br/>
        <w:t xml:space="preserve">This group includes individuals who switched dialysis modalities </w:t>
      </w:r>
      <w:r w:rsidRPr="0048080E">
        <w:rPr>
          <w:b/>
          <w:bCs/>
          <w:iCs/>
          <w:highlight w:val="white"/>
          <w:lang w:val="en-US"/>
        </w:rPr>
        <w:t>more than once</w:t>
      </w:r>
      <w:r w:rsidRPr="0048080E">
        <w:rPr>
          <w:iCs/>
          <w:highlight w:val="white"/>
          <w:lang w:val="en-US"/>
        </w:rPr>
        <w:t xml:space="preserve"> during the study period. This group was separated from the others to account for the complexity of multiple modality switches, as the effects of such switches on mortality may be difficult to isolate.</w:t>
      </w:r>
    </w:p>
    <w:p w14:paraId="644CD873" w14:textId="77777777" w:rsidR="0048080E" w:rsidRPr="008242E7" w:rsidRDefault="0048080E">
      <w:pPr>
        <w:rPr>
          <w:iCs/>
          <w:highlight w:val="white"/>
        </w:rPr>
      </w:pPr>
    </w:p>
    <w:p w14:paraId="63E2547B" w14:textId="7BBEDDB8" w:rsidR="003720EF" w:rsidRPr="008242E7" w:rsidRDefault="00D76087">
      <w:pPr>
        <w:rPr>
          <w:highlight w:val="white"/>
        </w:rPr>
      </w:pPr>
      <w:r w:rsidRPr="008242E7">
        <w:rPr>
          <w:highlight w:val="white"/>
        </w:rPr>
        <w:t>The method for obtaining these groups was roughly as follows:</w:t>
      </w:r>
    </w:p>
    <w:p w14:paraId="1D477BD6" w14:textId="77777777" w:rsidR="00EF34A0" w:rsidRPr="008242E7" w:rsidRDefault="00D76087" w:rsidP="00EF34A0">
      <w:pPr>
        <w:pStyle w:val="ListParagraph"/>
        <w:numPr>
          <w:ilvl w:val="0"/>
          <w:numId w:val="24"/>
        </w:numPr>
        <w:rPr>
          <w:highlight w:val="white"/>
        </w:rPr>
      </w:pPr>
      <w:r w:rsidRPr="008242E7">
        <w:rPr>
          <w:highlight w:val="white"/>
        </w:rPr>
        <w:t xml:space="preserve">Identify lines where the claim modality switched: </w:t>
      </w:r>
    </w:p>
    <w:p w14:paraId="7F3D4D7D" w14:textId="60865A6A" w:rsidR="00163635" w:rsidRPr="008242E7" w:rsidRDefault="00D76087" w:rsidP="00EF34A0">
      <w:pPr>
        <w:pStyle w:val="ListParagraph"/>
        <w:numPr>
          <w:ilvl w:val="2"/>
          <w:numId w:val="29"/>
        </w:numPr>
        <w:rPr>
          <w:highlight w:val="white"/>
        </w:rPr>
      </w:pPr>
      <w:r w:rsidRPr="008242E7">
        <w:rPr>
          <w:highlight w:val="white"/>
        </w:rPr>
        <w:t xml:space="preserve">Use the lag function to create another variable that contains the dialysis modality indicator for the previous line in the </w:t>
      </w:r>
      <w:proofErr w:type="gramStart"/>
      <w:r w:rsidRPr="008242E7">
        <w:rPr>
          <w:highlight w:val="white"/>
        </w:rPr>
        <w:t>document;</w:t>
      </w:r>
      <w:proofErr w:type="gramEnd"/>
      <w:r w:rsidRPr="008242E7">
        <w:rPr>
          <w:highlight w:val="white"/>
        </w:rPr>
        <w:t xml:space="preserve"> </w:t>
      </w:r>
    </w:p>
    <w:p w14:paraId="7CCFE5B2" w14:textId="6BB30172" w:rsidR="003720EF" w:rsidRPr="008242E7" w:rsidRDefault="00D76087" w:rsidP="00EF34A0">
      <w:pPr>
        <w:pStyle w:val="ListParagraph"/>
        <w:numPr>
          <w:ilvl w:val="2"/>
          <w:numId w:val="29"/>
        </w:numPr>
        <w:rPr>
          <w:highlight w:val="white"/>
        </w:rPr>
      </w:pPr>
      <w:r w:rsidRPr="008242E7">
        <w:rPr>
          <w:highlight w:val="white"/>
        </w:rPr>
        <w:t xml:space="preserve">Compare the contents of each original modality indicator with the lag column and use an “if, then” function to classify the switch into one of three categories. Note, the original “RXCAT” dialysis modality variable is broken up into 9 categories; categories 1-4 are for HD, including center </w:t>
      </w:r>
      <w:proofErr w:type="spellStart"/>
      <w:r w:rsidRPr="008242E7">
        <w:rPr>
          <w:highlight w:val="white"/>
        </w:rPr>
        <w:t>hemo</w:t>
      </w:r>
      <w:proofErr w:type="spellEnd"/>
      <w:r w:rsidRPr="008242E7">
        <w:rPr>
          <w:highlight w:val="white"/>
        </w:rPr>
        <w:t xml:space="preserve"> (1), center self-</w:t>
      </w:r>
      <w:proofErr w:type="spellStart"/>
      <w:r w:rsidRPr="008242E7">
        <w:rPr>
          <w:highlight w:val="white"/>
        </w:rPr>
        <w:t>hemo</w:t>
      </w:r>
      <w:proofErr w:type="spellEnd"/>
      <w:r w:rsidRPr="008242E7">
        <w:rPr>
          <w:highlight w:val="white"/>
        </w:rPr>
        <w:t xml:space="preserve"> (2), home </w:t>
      </w:r>
      <w:proofErr w:type="spellStart"/>
      <w:r w:rsidRPr="008242E7">
        <w:rPr>
          <w:highlight w:val="white"/>
        </w:rPr>
        <w:t>hemo</w:t>
      </w:r>
      <w:proofErr w:type="spellEnd"/>
      <w:r w:rsidRPr="008242E7">
        <w:rPr>
          <w:highlight w:val="white"/>
        </w:rPr>
        <w:t xml:space="preserve"> (3) and </w:t>
      </w:r>
      <w:proofErr w:type="spellStart"/>
      <w:r w:rsidRPr="008242E7">
        <w:rPr>
          <w:highlight w:val="white"/>
        </w:rPr>
        <w:t>hemo</w:t>
      </w:r>
      <w:proofErr w:type="spellEnd"/>
      <w:r w:rsidRPr="008242E7">
        <w:rPr>
          <w:highlight w:val="white"/>
        </w:rPr>
        <w:t xml:space="preserve"> training (4); categories 5-9 are for PD, including Continuous Ambulatory PD (CAPD - 5), CAPD training (6), Continuous Cycling PD (CCPD - 7), CCPD training (8), and other peritoneal (9). The categories created in this step included:</w:t>
      </w:r>
    </w:p>
    <w:p w14:paraId="5FAD296C" w14:textId="77777777" w:rsidR="00163635" w:rsidRPr="008242E7" w:rsidRDefault="00D76087" w:rsidP="00163635">
      <w:pPr>
        <w:ind w:left="1440"/>
        <w:rPr>
          <w:highlight w:val="white"/>
        </w:rPr>
      </w:pPr>
      <w:r w:rsidRPr="008242E7">
        <w:rPr>
          <w:highlight w:val="white"/>
        </w:rPr>
        <w:t xml:space="preserve">0= either the two lines contained the same modality; or the line indicated a switch within either HD or PD modalities </w:t>
      </w:r>
    </w:p>
    <w:p w14:paraId="4EABD6E6" w14:textId="51BEB9FA" w:rsidR="003720EF" w:rsidRPr="008242E7" w:rsidRDefault="00D76087" w:rsidP="00163635">
      <w:pPr>
        <w:ind w:left="1440"/>
        <w:rPr>
          <w:highlight w:val="white"/>
        </w:rPr>
      </w:pPr>
      <w:r w:rsidRPr="008242E7">
        <w:rPr>
          <w:highlight w:val="white"/>
        </w:rPr>
        <w:t>(e</w:t>
      </w:r>
      <w:r w:rsidR="00163635" w:rsidRPr="008242E7">
        <w:rPr>
          <w:highlight w:val="white"/>
        </w:rPr>
        <w:t>.</w:t>
      </w:r>
      <w:r w:rsidRPr="008242E7">
        <w:rPr>
          <w:highlight w:val="white"/>
        </w:rPr>
        <w:t>g</w:t>
      </w:r>
      <w:r w:rsidR="00163635" w:rsidRPr="008242E7">
        <w:rPr>
          <w:highlight w:val="white"/>
        </w:rPr>
        <w:t>.</w:t>
      </w:r>
      <w:r w:rsidRPr="008242E7">
        <w:rPr>
          <w:highlight w:val="white"/>
        </w:rPr>
        <w:t xml:space="preserve"> from center </w:t>
      </w:r>
      <w:proofErr w:type="spellStart"/>
      <w:r w:rsidRPr="008242E7">
        <w:rPr>
          <w:highlight w:val="white"/>
        </w:rPr>
        <w:t>hemo</w:t>
      </w:r>
      <w:proofErr w:type="spellEnd"/>
      <w:r w:rsidRPr="008242E7">
        <w:rPr>
          <w:highlight w:val="white"/>
        </w:rPr>
        <w:t xml:space="preserve"> (1) to home </w:t>
      </w:r>
      <w:proofErr w:type="spellStart"/>
      <w:r w:rsidRPr="008242E7">
        <w:rPr>
          <w:highlight w:val="white"/>
        </w:rPr>
        <w:t>hemo</w:t>
      </w:r>
      <w:proofErr w:type="spellEnd"/>
      <w:r w:rsidRPr="008242E7">
        <w:rPr>
          <w:highlight w:val="white"/>
        </w:rPr>
        <w:t xml:space="preserve"> (3)</w:t>
      </w:r>
      <w:proofErr w:type="gramStart"/>
      <w:r w:rsidRPr="008242E7">
        <w:rPr>
          <w:highlight w:val="white"/>
        </w:rPr>
        <w:t>);</w:t>
      </w:r>
      <w:proofErr w:type="gramEnd"/>
    </w:p>
    <w:p w14:paraId="31600B80" w14:textId="4674CFBA" w:rsidR="003720EF" w:rsidRPr="008242E7" w:rsidRDefault="00D76087" w:rsidP="00EF34A0">
      <w:pPr>
        <w:pStyle w:val="ListParagraph"/>
        <w:numPr>
          <w:ilvl w:val="0"/>
          <w:numId w:val="26"/>
        </w:numPr>
        <w:rPr>
          <w:highlight w:val="white"/>
        </w:rPr>
      </w:pPr>
      <w:r w:rsidRPr="008242E7">
        <w:rPr>
          <w:highlight w:val="white"/>
        </w:rPr>
        <w:t xml:space="preserve">= the line indicated a switch from a HD to a PD </w:t>
      </w:r>
      <w:proofErr w:type="gramStart"/>
      <w:r w:rsidRPr="008242E7">
        <w:rPr>
          <w:highlight w:val="white"/>
        </w:rPr>
        <w:t>modality;</w:t>
      </w:r>
      <w:proofErr w:type="gramEnd"/>
      <w:r w:rsidRPr="008242E7">
        <w:rPr>
          <w:highlight w:val="white"/>
        </w:rPr>
        <w:t xml:space="preserve"> </w:t>
      </w:r>
    </w:p>
    <w:p w14:paraId="7B7415B9" w14:textId="77777777" w:rsidR="00EF34A0" w:rsidRPr="008242E7" w:rsidRDefault="00D76087" w:rsidP="00EF34A0">
      <w:pPr>
        <w:ind w:left="1440"/>
        <w:rPr>
          <w:highlight w:val="white"/>
        </w:rPr>
      </w:pPr>
      <w:r w:rsidRPr="008242E7">
        <w:rPr>
          <w:highlight w:val="white"/>
        </w:rPr>
        <w:t>2 = the line indicated a switch from PD to HD.</w:t>
      </w:r>
    </w:p>
    <w:p w14:paraId="14ABB1DD" w14:textId="674FCCE3" w:rsidR="003720EF" w:rsidRPr="008242E7" w:rsidRDefault="00D76087" w:rsidP="00EF34A0">
      <w:pPr>
        <w:pStyle w:val="ListParagraph"/>
        <w:numPr>
          <w:ilvl w:val="2"/>
          <w:numId w:val="32"/>
        </w:numPr>
        <w:rPr>
          <w:highlight w:val="white"/>
        </w:rPr>
      </w:pPr>
      <w:r w:rsidRPr="008242E7">
        <w:rPr>
          <w:highlight w:val="white"/>
        </w:rPr>
        <w:t xml:space="preserve">Since this process resulted in some lines being identified as a switch when really it was a switch in ID, a variable was created using </w:t>
      </w:r>
      <w:proofErr w:type="gramStart"/>
      <w:r w:rsidRPr="008242E7">
        <w:rPr>
          <w:highlight w:val="white"/>
        </w:rPr>
        <w:t>lag(</w:t>
      </w:r>
      <w:proofErr w:type="gramEnd"/>
      <w:r w:rsidRPr="008242E7">
        <w:rPr>
          <w:highlight w:val="white"/>
        </w:rPr>
        <w:t>USRDS_ID) and the contents of that variable were compared the contents of the USRDS_ID column and the switch column to revert any “false” switches back to 0.</w:t>
      </w:r>
    </w:p>
    <w:p w14:paraId="19D32608" w14:textId="77777777" w:rsidR="003720EF" w:rsidRPr="008242E7" w:rsidRDefault="00D76087" w:rsidP="00EF34A0">
      <w:pPr>
        <w:pStyle w:val="ListParagraph"/>
        <w:numPr>
          <w:ilvl w:val="0"/>
          <w:numId w:val="24"/>
        </w:numPr>
        <w:rPr>
          <w:highlight w:val="white"/>
        </w:rPr>
      </w:pPr>
      <w:r w:rsidRPr="008242E7">
        <w:rPr>
          <w:highlight w:val="white"/>
        </w:rPr>
        <w:t>Create a variable for the date of each switch by creating a column that reads in the CLM_THRU variable if the switch column is not set to a value of 0.</w:t>
      </w:r>
    </w:p>
    <w:p w14:paraId="5466C3F7" w14:textId="77777777" w:rsidR="003720EF" w:rsidRPr="008242E7" w:rsidRDefault="00D76087" w:rsidP="00EF34A0">
      <w:pPr>
        <w:pStyle w:val="ListParagraph"/>
        <w:numPr>
          <w:ilvl w:val="0"/>
          <w:numId w:val="24"/>
        </w:numPr>
        <w:rPr>
          <w:highlight w:val="white"/>
        </w:rPr>
      </w:pPr>
      <w:r w:rsidRPr="008242E7">
        <w:rPr>
          <w:highlight w:val="white"/>
        </w:rPr>
        <w:t xml:space="preserve">Create an indicator of only having been on </w:t>
      </w:r>
      <w:proofErr w:type="spellStart"/>
      <w:r w:rsidRPr="008242E7">
        <w:rPr>
          <w:highlight w:val="white"/>
        </w:rPr>
        <w:t>hemo</w:t>
      </w:r>
      <w:proofErr w:type="spellEnd"/>
      <w:r w:rsidRPr="008242E7">
        <w:rPr>
          <w:highlight w:val="white"/>
        </w:rPr>
        <w:t xml:space="preserve"> or only having been on PD the whole time (even including times when there was a switch within </w:t>
      </w:r>
      <w:proofErr w:type="spellStart"/>
      <w:r w:rsidRPr="008242E7">
        <w:rPr>
          <w:highlight w:val="white"/>
        </w:rPr>
        <w:t>hemo</w:t>
      </w:r>
      <w:proofErr w:type="spellEnd"/>
      <w:r w:rsidRPr="008242E7">
        <w:rPr>
          <w:highlight w:val="white"/>
        </w:rPr>
        <w:t xml:space="preserve"> or peritoneal broader categories, for example if someone switched from center </w:t>
      </w:r>
      <w:proofErr w:type="spellStart"/>
      <w:r w:rsidRPr="008242E7">
        <w:rPr>
          <w:highlight w:val="white"/>
        </w:rPr>
        <w:t>hemo</w:t>
      </w:r>
      <w:proofErr w:type="spellEnd"/>
      <w:r w:rsidRPr="008242E7">
        <w:rPr>
          <w:highlight w:val="white"/>
        </w:rPr>
        <w:t xml:space="preserve"> to home </w:t>
      </w:r>
      <w:proofErr w:type="spellStart"/>
      <w:r w:rsidRPr="008242E7">
        <w:rPr>
          <w:highlight w:val="white"/>
        </w:rPr>
        <w:t>hemo</w:t>
      </w:r>
      <w:proofErr w:type="spellEnd"/>
      <w:proofErr w:type="gramStart"/>
      <w:r w:rsidRPr="008242E7">
        <w:rPr>
          <w:highlight w:val="white"/>
        </w:rPr>
        <w:t>);</w:t>
      </w:r>
      <w:proofErr w:type="gramEnd"/>
    </w:p>
    <w:p w14:paraId="0578CA61" w14:textId="77777777" w:rsidR="003720EF" w:rsidRPr="008242E7" w:rsidRDefault="00D76087">
      <w:pPr>
        <w:numPr>
          <w:ilvl w:val="0"/>
          <w:numId w:val="5"/>
        </w:numPr>
        <w:rPr>
          <w:highlight w:val="white"/>
        </w:rPr>
      </w:pPr>
      <w:r w:rsidRPr="008242E7">
        <w:rPr>
          <w:highlight w:val="white"/>
        </w:rPr>
        <w:t xml:space="preserve">Create a list by USRDS_ID that sums the contents of the switch column. Anyone with only zeros will have a sum of zero. Then make this list into an indicator variable by setting it to 0 for each individual if the contents of their sum </w:t>
      </w:r>
      <w:proofErr w:type="gramStart"/>
      <w:r w:rsidRPr="008242E7">
        <w:rPr>
          <w:highlight w:val="white"/>
        </w:rPr>
        <w:t>is</w:t>
      </w:r>
      <w:proofErr w:type="gramEnd"/>
      <w:r w:rsidRPr="008242E7">
        <w:rPr>
          <w:highlight w:val="white"/>
        </w:rPr>
        <w:t xml:space="preserve"> more than zero (indicating at least one meaningful switch between modalities </w:t>
      </w:r>
      <w:proofErr w:type="spellStart"/>
      <w:r w:rsidRPr="008242E7">
        <w:rPr>
          <w:highlight w:val="white"/>
        </w:rPr>
        <w:t>hemo</w:t>
      </w:r>
      <w:proofErr w:type="spellEnd"/>
      <w:r w:rsidRPr="008242E7">
        <w:rPr>
          <w:highlight w:val="white"/>
        </w:rPr>
        <w:t xml:space="preserve"> to peritoneal or peritoneal to </w:t>
      </w:r>
      <w:proofErr w:type="spellStart"/>
      <w:r w:rsidRPr="008242E7">
        <w:rPr>
          <w:highlight w:val="white"/>
        </w:rPr>
        <w:t>hemo</w:t>
      </w:r>
      <w:proofErr w:type="spellEnd"/>
      <w:r w:rsidRPr="008242E7">
        <w:rPr>
          <w:highlight w:val="white"/>
        </w:rPr>
        <w:t>) and 1 if the contents of their sum is zero. Thus, “1” indicates that they didn’t switch or only switched within a broader peritoneal or HD modality.</w:t>
      </w:r>
    </w:p>
    <w:p w14:paraId="05F89115" w14:textId="77777777" w:rsidR="003720EF" w:rsidRPr="008242E7" w:rsidRDefault="00D76087">
      <w:pPr>
        <w:numPr>
          <w:ilvl w:val="0"/>
          <w:numId w:val="5"/>
        </w:numPr>
        <w:rPr>
          <w:highlight w:val="white"/>
        </w:rPr>
      </w:pPr>
      <w:r w:rsidRPr="008242E7">
        <w:rPr>
          <w:highlight w:val="white"/>
        </w:rPr>
        <w:t>Add this indicator variable to the claims document, and then use the modality information in the claims document to identify whether the person was on HD or PD the whole time by creating two new indicator variables with an “if, then” statement.</w:t>
      </w:r>
    </w:p>
    <w:p w14:paraId="2BE27BB1" w14:textId="77777777" w:rsidR="003720EF" w:rsidRPr="008242E7" w:rsidRDefault="00D76087" w:rsidP="00EF34A0">
      <w:pPr>
        <w:pStyle w:val="ListParagraph"/>
        <w:numPr>
          <w:ilvl w:val="0"/>
          <w:numId w:val="33"/>
        </w:numPr>
        <w:rPr>
          <w:highlight w:val="white"/>
        </w:rPr>
      </w:pPr>
      <w:r w:rsidRPr="008242E7">
        <w:rPr>
          <w:highlight w:val="white"/>
        </w:rPr>
        <w:t>Identify people who have had more than one switch by counting the number of switch dates by individual and then using that information to create an indicator variable of having had more than one switch (</w:t>
      </w:r>
      <w:proofErr w:type="spellStart"/>
      <w:r w:rsidRPr="008242E7">
        <w:rPr>
          <w:highlight w:val="white"/>
        </w:rPr>
        <w:t>multiswitch</w:t>
      </w:r>
      <w:proofErr w:type="spellEnd"/>
      <w:r w:rsidRPr="008242E7">
        <w:rPr>
          <w:highlight w:val="white"/>
        </w:rPr>
        <w:t>).</w:t>
      </w:r>
    </w:p>
    <w:p w14:paraId="2AAFFD75" w14:textId="77777777" w:rsidR="003720EF" w:rsidRPr="008242E7" w:rsidRDefault="00D76087" w:rsidP="00EF34A0">
      <w:pPr>
        <w:pStyle w:val="ListParagraph"/>
        <w:numPr>
          <w:ilvl w:val="0"/>
          <w:numId w:val="33"/>
        </w:numPr>
        <w:rPr>
          <w:highlight w:val="white"/>
        </w:rPr>
      </w:pPr>
      <w:r w:rsidRPr="008242E7">
        <w:rPr>
          <w:highlight w:val="white"/>
        </w:rPr>
        <w:t xml:space="preserve">Remove switch dates for individuals who have had more than one switch, then create variables to indicate if individuals had a switch date before the end date of their respective cohort (December 31, </w:t>
      </w:r>
      <w:proofErr w:type="gramStart"/>
      <w:r w:rsidRPr="008242E7">
        <w:rPr>
          <w:highlight w:val="white"/>
        </w:rPr>
        <w:t>2010</w:t>
      </w:r>
      <w:proofErr w:type="gramEnd"/>
      <w:r w:rsidRPr="008242E7">
        <w:rPr>
          <w:highlight w:val="white"/>
        </w:rPr>
        <w:t xml:space="preserve"> for cohort 0 and December 31, 2013 for cohort 1)</w:t>
      </w:r>
    </w:p>
    <w:p w14:paraId="3C9B4845" w14:textId="77777777" w:rsidR="003720EF" w:rsidRPr="008242E7" w:rsidRDefault="00D76087" w:rsidP="00EF34A0">
      <w:pPr>
        <w:pStyle w:val="ListParagraph"/>
        <w:numPr>
          <w:ilvl w:val="0"/>
          <w:numId w:val="33"/>
        </w:numPr>
        <w:rPr>
          <w:highlight w:val="white"/>
        </w:rPr>
      </w:pPr>
      <w:r w:rsidRPr="008242E7">
        <w:rPr>
          <w:highlight w:val="white"/>
        </w:rPr>
        <w:t xml:space="preserve">Create indicators for the final four categories: </w:t>
      </w:r>
    </w:p>
    <w:p w14:paraId="2C3065F2" w14:textId="77777777" w:rsidR="003720EF" w:rsidRPr="008242E7" w:rsidRDefault="00D76087">
      <w:pPr>
        <w:numPr>
          <w:ilvl w:val="1"/>
          <w:numId w:val="2"/>
        </w:numPr>
        <w:rPr>
          <w:highlight w:val="white"/>
        </w:rPr>
      </w:pPr>
      <w:r w:rsidRPr="008242E7">
        <w:rPr>
          <w:highlight w:val="white"/>
        </w:rPr>
        <w:t xml:space="preserve">Switched once HD to </w:t>
      </w:r>
      <w:proofErr w:type="spellStart"/>
      <w:r w:rsidRPr="008242E7">
        <w:rPr>
          <w:highlight w:val="white"/>
        </w:rPr>
        <w:t>peridialysis</w:t>
      </w:r>
      <w:proofErr w:type="spellEnd"/>
      <w:r w:rsidRPr="008242E7">
        <w:rPr>
          <w:highlight w:val="white"/>
        </w:rPr>
        <w:t xml:space="preserve"> more than six months before the end date of their </w:t>
      </w:r>
      <w:proofErr w:type="gramStart"/>
      <w:r w:rsidRPr="008242E7">
        <w:rPr>
          <w:highlight w:val="white"/>
        </w:rPr>
        <w:t>cohort;</w:t>
      </w:r>
      <w:proofErr w:type="gramEnd"/>
    </w:p>
    <w:p w14:paraId="57C3B773" w14:textId="77777777" w:rsidR="003720EF" w:rsidRPr="008242E7" w:rsidRDefault="00D76087">
      <w:pPr>
        <w:numPr>
          <w:ilvl w:val="1"/>
          <w:numId w:val="2"/>
        </w:numPr>
        <w:rPr>
          <w:highlight w:val="white"/>
        </w:rPr>
      </w:pPr>
      <w:r w:rsidRPr="008242E7">
        <w:rPr>
          <w:highlight w:val="white"/>
        </w:rPr>
        <w:t xml:space="preserve">Switched once HD to peri-dialysis less than six months before the end date of their cohort, </w:t>
      </w:r>
    </w:p>
    <w:p w14:paraId="0A619C02" w14:textId="77777777" w:rsidR="003720EF" w:rsidRPr="008242E7" w:rsidRDefault="00D76087">
      <w:pPr>
        <w:numPr>
          <w:ilvl w:val="1"/>
          <w:numId w:val="2"/>
        </w:numPr>
        <w:rPr>
          <w:highlight w:val="white"/>
        </w:rPr>
      </w:pPr>
      <w:r w:rsidRPr="008242E7">
        <w:rPr>
          <w:highlight w:val="white"/>
        </w:rPr>
        <w:t xml:space="preserve">Switched once PD to HD more than six months before the end date of their cohort; and </w:t>
      </w:r>
    </w:p>
    <w:p w14:paraId="5DAABB69" w14:textId="77777777" w:rsidR="003720EF" w:rsidRPr="008242E7" w:rsidRDefault="00D76087">
      <w:pPr>
        <w:numPr>
          <w:ilvl w:val="1"/>
          <w:numId w:val="2"/>
        </w:numPr>
        <w:rPr>
          <w:highlight w:val="white"/>
        </w:rPr>
      </w:pPr>
      <w:r w:rsidRPr="008242E7">
        <w:rPr>
          <w:highlight w:val="white"/>
        </w:rPr>
        <w:t>Switched once PD to HD within six months of the end date of their cohort.</w:t>
      </w:r>
    </w:p>
    <w:p w14:paraId="79E49E4E" w14:textId="5C9E492D" w:rsidR="003720EF" w:rsidRPr="008242E7" w:rsidRDefault="00D76087" w:rsidP="00EF34A0">
      <w:pPr>
        <w:pStyle w:val="ListParagraph"/>
        <w:numPr>
          <w:ilvl w:val="0"/>
          <w:numId w:val="34"/>
        </w:numPr>
        <w:rPr>
          <w:highlight w:val="white"/>
        </w:rPr>
      </w:pPr>
      <w:r w:rsidRPr="008242E7">
        <w:rPr>
          <w:highlight w:val="white"/>
        </w:rPr>
        <w:t>Create a table with one line per participant and an indicator of which of the seven groups they fall into (for each indicator variable - one per category - sum the number of 1’s across all their claims in the claim file by USRDS_ID, then reset the cells that are more than 1 to 1 for a 0-1 indicator variable).</w:t>
      </w:r>
    </w:p>
    <w:p w14:paraId="4112BDA1" w14:textId="77777777" w:rsidR="0048080E" w:rsidRPr="0048080E" w:rsidRDefault="0048080E" w:rsidP="0048080E">
      <w:pPr>
        <w:rPr>
          <w:b/>
          <w:bCs/>
          <w:highlight w:val="white"/>
          <w:lang w:val="en-US"/>
        </w:rPr>
      </w:pPr>
      <w:r w:rsidRPr="0048080E">
        <w:rPr>
          <w:b/>
          <w:bCs/>
          <w:highlight w:val="white"/>
          <w:lang w:val="en-US"/>
        </w:rPr>
        <w:t>Method for Identifying Dialysis Modality Groups</w:t>
      </w:r>
    </w:p>
    <w:p w14:paraId="0701A4C1" w14:textId="77777777" w:rsidR="0048080E" w:rsidRPr="0048080E" w:rsidRDefault="0048080E" w:rsidP="0048080E">
      <w:pPr>
        <w:rPr>
          <w:highlight w:val="white"/>
          <w:lang w:val="en-US"/>
        </w:rPr>
      </w:pPr>
      <w:r w:rsidRPr="0048080E">
        <w:rPr>
          <w:highlight w:val="white"/>
          <w:lang w:val="en-US"/>
        </w:rPr>
        <w:t>The process for assigning individuals to the modality groups involved several steps:</w:t>
      </w:r>
    </w:p>
    <w:p w14:paraId="651A3CBA" w14:textId="77777777" w:rsidR="0048080E" w:rsidRPr="0048080E" w:rsidRDefault="0048080E" w:rsidP="0048080E">
      <w:pPr>
        <w:numPr>
          <w:ilvl w:val="0"/>
          <w:numId w:val="45"/>
        </w:numPr>
        <w:rPr>
          <w:highlight w:val="white"/>
          <w:lang w:val="en-US"/>
        </w:rPr>
      </w:pPr>
      <w:r w:rsidRPr="0048080E">
        <w:rPr>
          <w:b/>
          <w:bCs/>
          <w:highlight w:val="white"/>
          <w:lang w:val="en-US"/>
        </w:rPr>
        <w:t>Identify Lines Where Modality Switches Occurred:</w:t>
      </w:r>
    </w:p>
    <w:p w14:paraId="3A98A9C0" w14:textId="77777777" w:rsidR="0048080E" w:rsidRPr="0048080E" w:rsidRDefault="0048080E" w:rsidP="0048080E">
      <w:pPr>
        <w:numPr>
          <w:ilvl w:val="1"/>
          <w:numId w:val="45"/>
        </w:numPr>
        <w:rPr>
          <w:highlight w:val="white"/>
          <w:lang w:val="en-US"/>
        </w:rPr>
      </w:pPr>
      <w:r w:rsidRPr="0048080E">
        <w:rPr>
          <w:highlight w:val="white"/>
          <w:lang w:val="en-US"/>
        </w:rPr>
        <w:t xml:space="preserve">Use the </w:t>
      </w:r>
      <w:r w:rsidRPr="0048080E">
        <w:rPr>
          <w:b/>
          <w:bCs/>
          <w:highlight w:val="white"/>
          <w:lang w:val="en-US"/>
        </w:rPr>
        <w:t>lag function</w:t>
      </w:r>
      <w:r w:rsidRPr="0048080E">
        <w:rPr>
          <w:highlight w:val="white"/>
          <w:lang w:val="en-US"/>
        </w:rPr>
        <w:t xml:space="preserve"> to create a new variable containing the dialysis modality from the previous line in the claims data.</w:t>
      </w:r>
    </w:p>
    <w:p w14:paraId="0DB50019" w14:textId="77777777" w:rsidR="0048080E" w:rsidRPr="0048080E" w:rsidRDefault="0048080E" w:rsidP="0048080E">
      <w:pPr>
        <w:numPr>
          <w:ilvl w:val="1"/>
          <w:numId w:val="45"/>
        </w:numPr>
        <w:rPr>
          <w:highlight w:val="white"/>
          <w:lang w:val="en-US"/>
        </w:rPr>
      </w:pPr>
      <w:r w:rsidRPr="0048080E">
        <w:rPr>
          <w:highlight w:val="white"/>
          <w:lang w:val="en-US"/>
        </w:rPr>
        <w:t>Compare the current modality with the previous (lagged) modality using an "if-then" function to classify the switch into one of three categories:</w:t>
      </w:r>
    </w:p>
    <w:p w14:paraId="73D16E49" w14:textId="77777777" w:rsidR="0048080E" w:rsidRPr="0048080E" w:rsidRDefault="0048080E" w:rsidP="0048080E">
      <w:pPr>
        <w:numPr>
          <w:ilvl w:val="2"/>
          <w:numId w:val="45"/>
        </w:numPr>
        <w:rPr>
          <w:highlight w:val="white"/>
          <w:lang w:val="en-US"/>
        </w:rPr>
      </w:pPr>
      <w:r w:rsidRPr="0048080E">
        <w:rPr>
          <w:b/>
          <w:bCs/>
          <w:highlight w:val="white"/>
          <w:lang w:val="en-US"/>
        </w:rPr>
        <w:t>0</w:t>
      </w:r>
      <w:r w:rsidRPr="0048080E">
        <w:rPr>
          <w:highlight w:val="white"/>
          <w:lang w:val="en-US"/>
        </w:rPr>
        <w:t xml:space="preserve"> = No switch (either the two lines show the same modality, or both lines show a switch within the same modality category, e.g., from center </w:t>
      </w:r>
      <w:proofErr w:type="spellStart"/>
      <w:r w:rsidRPr="0048080E">
        <w:rPr>
          <w:highlight w:val="white"/>
          <w:lang w:val="en-US"/>
        </w:rPr>
        <w:t>hemo</w:t>
      </w:r>
      <w:proofErr w:type="spellEnd"/>
      <w:r w:rsidRPr="0048080E">
        <w:rPr>
          <w:highlight w:val="white"/>
          <w:lang w:val="en-US"/>
        </w:rPr>
        <w:t xml:space="preserve"> to home </w:t>
      </w:r>
      <w:proofErr w:type="spellStart"/>
      <w:r w:rsidRPr="0048080E">
        <w:rPr>
          <w:highlight w:val="white"/>
          <w:lang w:val="en-US"/>
        </w:rPr>
        <w:t>hemo</w:t>
      </w:r>
      <w:proofErr w:type="spellEnd"/>
      <w:r w:rsidRPr="0048080E">
        <w:rPr>
          <w:highlight w:val="white"/>
          <w:lang w:val="en-US"/>
        </w:rPr>
        <w:t>).</w:t>
      </w:r>
    </w:p>
    <w:p w14:paraId="4480D0FE" w14:textId="77777777" w:rsidR="0048080E" w:rsidRPr="0048080E" w:rsidRDefault="0048080E" w:rsidP="0048080E">
      <w:pPr>
        <w:numPr>
          <w:ilvl w:val="2"/>
          <w:numId w:val="45"/>
        </w:numPr>
        <w:rPr>
          <w:highlight w:val="white"/>
          <w:lang w:val="en-US"/>
        </w:rPr>
      </w:pPr>
      <w:r w:rsidRPr="0048080E">
        <w:rPr>
          <w:b/>
          <w:bCs/>
          <w:highlight w:val="white"/>
          <w:lang w:val="en-US"/>
        </w:rPr>
        <w:t>2</w:t>
      </w:r>
      <w:r w:rsidRPr="0048080E">
        <w:rPr>
          <w:highlight w:val="white"/>
          <w:lang w:val="en-US"/>
        </w:rPr>
        <w:t xml:space="preserve"> = Switch from </w:t>
      </w:r>
      <w:r w:rsidRPr="0048080E">
        <w:rPr>
          <w:b/>
          <w:bCs/>
          <w:highlight w:val="white"/>
          <w:lang w:val="en-US"/>
        </w:rPr>
        <w:t>HD to PD</w:t>
      </w:r>
      <w:r w:rsidRPr="0048080E">
        <w:rPr>
          <w:highlight w:val="white"/>
          <w:lang w:val="en-US"/>
        </w:rPr>
        <w:t>.</w:t>
      </w:r>
    </w:p>
    <w:p w14:paraId="1CDE7E76" w14:textId="77777777" w:rsidR="0048080E" w:rsidRPr="0048080E" w:rsidRDefault="0048080E" w:rsidP="0048080E">
      <w:pPr>
        <w:numPr>
          <w:ilvl w:val="2"/>
          <w:numId w:val="45"/>
        </w:numPr>
        <w:rPr>
          <w:highlight w:val="white"/>
          <w:lang w:val="en-US"/>
        </w:rPr>
      </w:pPr>
      <w:r w:rsidRPr="0048080E">
        <w:rPr>
          <w:b/>
          <w:bCs/>
          <w:highlight w:val="white"/>
          <w:lang w:val="en-US"/>
        </w:rPr>
        <w:t>3</w:t>
      </w:r>
      <w:r w:rsidRPr="0048080E">
        <w:rPr>
          <w:highlight w:val="white"/>
          <w:lang w:val="en-US"/>
        </w:rPr>
        <w:t xml:space="preserve"> = Switch from </w:t>
      </w:r>
      <w:r w:rsidRPr="0048080E">
        <w:rPr>
          <w:b/>
          <w:bCs/>
          <w:highlight w:val="white"/>
          <w:lang w:val="en-US"/>
        </w:rPr>
        <w:t>PD to HD</w:t>
      </w:r>
      <w:r w:rsidRPr="0048080E">
        <w:rPr>
          <w:highlight w:val="white"/>
          <w:lang w:val="en-US"/>
        </w:rPr>
        <w:t>.</w:t>
      </w:r>
    </w:p>
    <w:p w14:paraId="1EA634B5" w14:textId="77777777" w:rsidR="0048080E" w:rsidRPr="0048080E" w:rsidRDefault="0048080E" w:rsidP="0048080E">
      <w:pPr>
        <w:numPr>
          <w:ilvl w:val="1"/>
          <w:numId w:val="45"/>
        </w:numPr>
        <w:rPr>
          <w:highlight w:val="white"/>
          <w:lang w:val="en-US"/>
        </w:rPr>
      </w:pPr>
      <w:r w:rsidRPr="0048080E">
        <w:rPr>
          <w:highlight w:val="white"/>
          <w:lang w:val="en-US"/>
        </w:rPr>
        <w:t xml:space="preserve">The original </w:t>
      </w:r>
      <w:r w:rsidRPr="0048080E">
        <w:rPr>
          <w:b/>
          <w:bCs/>
          <w:highlight w:val="white"/>
          <w:lang w:val="en-US"/>
        </w:rPr>
        <w:t>RXCAT</w:t>
      </w:r>
      <w:r w:rsidRPr="0048080E">
        <w:rPr>
          <w:highlight w:val="white"/>
          <w:lang w:val="en-US"/>
        </w:rPr>
        <w:t xml:space="preserve"> dialysis modality variable has 9 categories:</w:t>
      </w:r>
    </w:p>
    <w:p w14:paraId="6940D44D" w14:textId="77777777" w:rsidR="0048080E" w:rsidRPr="0048080E" w:rsidRDefault="0048080E" w:rsidP="0048080E">
      <w:pPr>
        <w:numPr>
          <w:ilvl w:val="2"/>
          <w:numId w:val="45"/>
        </w:numPr>
        <w:rPr>
          <w:highlight w:val="white"/>
          <w:lang w:val="en-US"/>
        </w:rPr>
      </w:pPr>
      <w:r w:rsidRPr="0048080E">
        <w:rPr>
          <w:b/>
          <w:bCs/>
          <w:highlight w:val="white"/>
          <w:lang w:val="en-US"/>
        </w:rPr>
        <w:t>HD categories</w:t>
      </w:r>
      <w:r w:rsidRPr="0048080E">
        <w:rPr>
          <w:highlight w:val="white"/>
          <w:lang w:val="en-US"/>
        </w:rPr>
        <w:t>:</w:t>
      </w:r>
    </w:p>
    <w:p w14:paraId="771D71ED" w14:textId="77777777" w:rsidR="0048080E" w:rsidRPr="0048080E" w:rsidRDefault="0048080E" w:rsidP="0048080E">
      <w:pPr>
        <w:numPr>
          <w:ilvl w:val="3"/>
          <w:numId w:val="45"/>
        </w:numPr>
        <w:rPr>
          <w:highlight w:val="white"/>
          <w:lang w:val="en-US"/>
        </w:rPr>
      </w:pPr>
      <w:r w:rsidRPr="0048080E">
        <w:rPr>
          <w:highlight w:val="white"/>
          <w:lang w:val="en-US"/>
        </w:rPr>
        <w:t>Center hemodialysis (1)</w:t>
      </w:r>
    </w:p>
    <w:p w14:paraId="3FA876C7" w14:textId="77777777" w:rsidR="0048080E" w:rsidRPr="0048080E" w:rsidRDefault="0048080E" w:rsidP="0048080E">
      <w:pPr>
        <w:numPr>
          <w:ilvl w:val="3"/>
          <w:numId w:val="45"/>
        </w:numPr>
        <w:rPr>
          <w:highlight w:val="white"/>
          <w:lang w:val="en-US"/>
        </w:rPr>
      </w:pPr>
      <w:r w:rsidRPr="0048080E">
        <w:rPr>
          <w:highlight w:val="white"/>
          <w:lang w:val="en-US"/>
        </w:rPr>
        <w:t>Center self-hemodialysis (2)</w:t>
      </w:r>
    </w:p>
    <w:p w14:paraId="3CE17680" w14:textId="77777777" w:rsidR="0048080E" w:rsidRPr="0048080E" w:rsidRDefault="0048080E" w:rsidP="0048080E">
      <w:pPr>
        <w:numPr>
          <w:ilvl w:val="3"/>
          <w:numId w:val="45"/>
        </w:numPr>
        <w:rPr>
          <w:highlight w:val="white"/>
          <w:lang w:val="en-US"/>
        </w:rPr>
      </w:pPr>
      <w:r w:rsidRPr="0048080E">
        <w:rPr>
          <w:highlight w:val="white"/>
          <w:lang w:val="en-US"/>
        </w:rPr>
        <w:t>Home hemodialysis (3)</w:t>
      </w:r>
    </w:p>
    <w:p w14:paraId="308BEDE8" w14:textId="77777777" w:rsidR="0048080E" w:rsidRPr="0048080E" w:rsidRDefault="0048080E" w:rsidP="0048080E">
      <w:pPr>
        <w:numPr>
          <w:ilvl w:val="3"/>
          <w:numId w:val="45"/>
        </w:numPr>
        <w:rPr>
          <w:highlight w:val="white"/>
          <w:lang w:val="en-US"/>
        </w:rPr>
      </w:pPr>
      <w:r w:rsidRPr="0048080E">
        <w:rPr>
          <w:highlight w:val="white"/>
          <w:lang w:val="en-US"/>
        </w:rPr>
        <w:t>Hemodialysis training (4)</w:t>
      </w:r>
    </w:p>
    <w:p w14:paraId="0332BC38" w14:textId="77777777" w:rsidR="0048080E" w:rsidRPr="0048080E" w:rsidRDefault="0048080E" w:rsidP="0048080E">
      <w:pPr>
        <w:numPr>
          <w:ilvl w:val="2"/>
          <w:numId w:val="45"/>
        </w:numPr>
        <w:rPr>
          <w:highlight w:val="white"/>
          <w:lang w:val="en-US"/>
        </w:rPr>
      </w:pPr>
      <w:r w:rsidRPr="0048080E">
        <w:rPr>
          <w:b/>
          <w:bCs/>
          <w:highlight w:val="white"/>
          <w:lang w:val="en-US"/>
        </w:rPr>
        <w:t>PD categories</w:t>
      </w:r>
      <w:r w:rsidRPr="0048080E">
        <w:rPr>
          <w:highlight w:val="white"/>
          <w:lang w:val="en-US"/>
        </w:rPr>
        <w:t>:</w:t>
      </w:r>
    </w:p>
    <w:p w14:paraId="4C6B6924" w14:textId="77777777" w:rsidR="0048080E" w:rsidRPr="0048080E" w:rsidRDefault="0048080E" w:rsidP="0048080E">
      <w:pPr>
        <w:numPr>
          <w:ilvl w:val="3"/>
          <w:numId w:val="45"/>
        </w:numPr>
        <w:rPr>
          <w:highlight w:val="white"/>
          <w:lang w:val="en-US"/>
        </w:rPr>
      </w:pPr>
      <w:r w:rsidRPr="0048080E">
        <w:rPr>
          <w:highlight w:val="white"/>
          <w:lang w:val="en-US"/>
        </w:rPr>
        <w:t>Continuous Ambulatory PD (CAPD, 5)</w:t>
      </w:r>
    </w:p>
    <w:p w14:paraId="4FAD57C8" w14:textId="77777777" w:rsidR="0048080E" w:rsidRPr="0048080E" w:rsidRDefault="0048080E" w:rsidP="0048080E">
      <w:pPr>
        <w:numPr>
          <w:ilvl w:val="3"/>
          <w:numId w:val="45"/>
        </w:numPr>
        <w:rPr>
          <w:highlight w:val="white"/>
          <w:lang w:val="en-US"/>
        </w:rPr>
      </w:pPr>
      <w:r w:rsidRPr="0048080E">
        <w:rPr>
          <w:highlight w:val="white"/>
          <w:lang w:val="en-US"/>
        </w:rPr>
        <w:t>CAPD training (6)</w:t>
      </w:r>
    </w:p>
    <w:p w14:paraId="480D6BFF" w14:textId="77777777" w:rsidR="0048080E" w:rsidRPr="0048080E" w:rsidRDefault="0048080E" w:rsidP="0048080E">
      <w:pPr>
        <w:numPr>
          <w:ilvl w:val="3"/>
          <w:numId w:val="45"/>
        </w:numPr>
        <w:rPr>
          <w:highlight w:val="white"/>
          <w:lang w:val="en-US"/>
        </w:rPr>
      </w:pPr>
      <w:r w:rsidRPr="0048080E">
        <w:rPr>
          <w:highlight w:val="white"/>
          <w:lang w:val="en-US"/>
        </w:rPr>
        <w:t>Continuous Cycling PD (CCPD, 7)</w:t>
      </w:r>
    </w:p>
    <w:p w14:paraId="45F4F565" w14:textId="77777777" w:rsidR="0048080E" w:rsidRPr="0048080E" w:rsidRDefault="0048080E" w:rsidP="0048080E">
      <w:pPr>
        <w:numPr>
          <w:ilvl w:val="3"/>
          <w:numId w:val="45"/>
        </w:numPr>
        <w:rPr>
          <w:highlight w:val="white"/>
          <w:lang w:val="en-US"/>
        </w:rPr>
      </w:pPr>
      <w:r w:rsidRPr="0048080E">
        <w:rPr>
          <w:highlight w:val="white"/>
          <w:lang w:val="en-US"/>
        </w:rPr>
        <w:t>CCPD training (8)</w:t>
      </w:r>
    </w:p>
    <w:p w14:paraId="617702C6" w14:textId="77777777" w:rsidR="0048080E" w:rsidRPr="0048080E" w:rsidRDefault="0048080E" w:rsidP="0048080E">
      <w:pPr>
        <w:numPr>
          <w:ilvl w:val="3"/>
          <w:numId w:val="45"/>
        </w:numPr>
        <w:rPr>
          <w:highlight w:val="white"/>
          <w:lang w:val="en-US"/>
        </w:rPr>
      </w:pPr>
      <w:r w:rsidRPr="0048080E">
        <w:rPr>
          <w:highlight w:val="white"/>
          <w:lang w:val="en-US"/>
        </w:rPr>
        <w:t>Other peritoneal dialysis (9)</w:t>
      </w:r>
    </w:p>
    <w:p w14:paraId="2DB25307" w14:textId="77777777" w:rsidR="0048080E" w:rsidRPr="0048080E" w:rsidRDefault="0048080E" w:rsidP="0048080E">
      <w:pPr>
        <w:numPr>
          <w:ilvl w:val="0"/>
          <w:numId w:val="45"/>
        </w:numPr>
        <w:rPr>
          <w:highlight w:val="white"/>
          <w:lang w:val="en-US"/>
        </w:rPr>
      </w:pPr>
      <w:r w:rsidRPr="0048080E">
        <w:rPr>
          <w:b/>
          <w:bCs/>
          <w:highlight w:val="white"/>
          <w:lang w:val="en-US"/>
        </w:rPr>
        <w:t>Handle False Switches:</w:t>
      </w:r>
    </w:p>
    <w:p w14:paraId="2D27F901" w14:textId="77777777" w:rsidR="0048080E" w:rsidRPr="0048080E" w:rsidRDefault="0048080E" w:rsidP="0048080E">
      <w:pPr>
        <w:numPr>
          <w:ilvl w:val="1"/>
          <w:numId w:val="45"/>
        </w:numPr>
        <w:rPr>
          <w:highlight w:val="white"/>
          <w:lang w:val="en-US"/>
        </w:rPr>
      </w:pPr>
      <w:r w:rsidRPr="0048080E">
        <w:rPr>
          <w:highlight w:val="white"/>
          <w:lang w:val="en-US"/>
        </w:rPr>
        <w:t xml:space="preserve">Some instances were identified as modality switches when, in fact, the ID had changed. To correct for this, a variable was created using </w:t>
      </w:r>
      <w:proofErr w:type="gramStart"/>
      <w:r w:rsidRPr="0048080E">
        <w:rPr>
          <w:b/>
          <w:bCs/>
          <w:highlight w:val="white"/>
          <w:lang w:val="en-US"/>
        </w:rPr>
        <w:t>lag(</w:t>
      </w:r>
      <w:proofErr w:type="gramEnd"/>
      <w:r w:rsidRPr="0048080E">
        <w:rPr>
          <w:b/>
          <w:bCs/>
          <w:highlight w:val="white"/>
          <w:lang w:val="en-US"/>
        </w:rPr>
        <w:t>USRDS_ID)</w:t>
      </w:r>
      <w:r w:rsidRPr="0048080E">
        <w:rPr>
          <w:highlight w:val="white"/>
          <w:lang w:val="en-US"/>
        </w:rPr>
        <w:t xml:space="preserve">, and the contents of the </w:t>
      </w:r>
      <w:r w:rsidRPr="0048080E">
        <w:rPr>
          <w:b/>
          <w:bCs/>
          <w:highlight w:val="white"/>
          <w:lang w:val="en-US"/>
        </w:rPr>
        <w:t>USRDS_ID</w:t>
      </w:r>
      <w:r w:rsidRPr="0048080E">
        <w:rPr>
          <w:highlight w:val="white"/>
          <w:lang w:val="en-US"/>
        </w:rPr>
        <w:t xml:space="preserve"> were compared with the switch column. Any “false” switches (resulting from ID changes) were </w:t>
      </w:r>
      <w:proofErr w:type="gramStart"/>
      <w:r w:rsidRPr="0048080E">
        <w:rPr>
          <w:highlight w:val="white"/>
          <w:lang w:val="en-US"/>
        </w:rPr>
        <w:t>reverted back</w:t>
      </w:r>
      <w:proofErr w:type="gramEnd"/>
      <w:r w:rsidRPr="0048080E">
        <w:rPr>
          <w:highlight w:val="white"/>
          <w:lang w:val="en-US"/>
        </w:rPr>
        <w:t xml:space="preserve"> to 0.</w:t>
      </w:r>
    </w:p>
    <w:p w14:paraId="71885D73" w14:textId="77777777" w:rsidR="0048080E" w:rsidRPr="0048080E" w:rsidRDefault="0048080E" w:rsidP="0048080E">
      <w:pPr>
        <w:numPr>
          <w:ilvl w:val="0"/>
          <w:numId w:val="45"/>
        </w:numPr>
        <w:rPr>
          <w:highlight w:val="white"/>
          <w:lang w:val="en-US"/>
        </w:rPr>
      </w:pPr>
      <w:r w:rsidRPr="0048080E">
        <w:rPr>
          <w:b/>
          <w:bCs/>
          <w:highlight w:val="white"/>
          <w:lang w:val="en-US"/>
        </w:rPr>
        <w:t>Create a Variable for the Date of Each Switch:</w:t>
      </w:r>
    </w:p>
    <w:p w14:paraId="1775E690" w14:textId="77777777" w:rsidR="0048080E" w:rsidRPr="0048080E" w:rsidRDefault="0048080E" w:rsidP="0048080E">
      <w:pPr>
        <w:numPr>
          <w:ilvl w:val="1"/>
          <w:numId w:val="45"/>
        </w:numPr>
        <w:rPr>
          <w:highlight w:val="white"/>
          <w:lang w:val="en-US"/>
        </w:rPr>
      </w:pPr>
      <w:r w:rsidRPr="0048080E">
        <w:rPr>
          <w:highlight w:val="white"/>
          <w:lang w:val="en-US"/>
        </w:rPr>
        <w:t xml:space="preserve">Create a </w:t>
      </w:r>
      <w:r w:rsidRPr="0048080E">
        <w:rPr>
          <w:b/>
          <w:bCs/>
          <w:highlight w:val="white"/>
          <w:lang w:val="en-US"/>
        </w:rPr>
        <w:t>switch date</w:t>
      </w:r>
      <w:r w:rsidRPr="0048080E">
        <w:rPr>
          <w:highlight w:val="white"/>
          <w:lang w:val="en-US"/>
        </w:rPr>
        <w:t xml:space="preserve"> variable by extracting the </w:t>
      </w:r>
      <w:r w:rsidRPr="0048080E">
        <w:rPr>
          <w:b/>
          <w:bCs/>
          <w:highlight w:val="white"/>
          <w:lang w:val="en-US"/>
        </w:rPr>
        <w:t>CLM_THRU</w:t>
      </w:r>
      <w:r w:rsidRPr="0048080E">
        <w:rPr>
          <w:highlight w:val="white"/>
          <w:lang w:val="en-US"/>
        </w:rPr>
        <w:t xml:space="preserve"> date for lines where the switch column is not set to 0.</w:t>
      </w:r>
    </w:p>
    <w:p w14:paraId="211AD770" w14:textId="77777777" w:rsidR="0048080E" w:rsidRPr="0048080E" w:rsidRDefault="0048080E" w:rsidP="0048080E">
      <w:pPr>
        <w:numPr>
          <w:ilvl w:val="0"/>
          <w:numId w:val="45"/>
        </w:numPr>
        <w:rPr>
          <w:highlight w:val="white"/>
          <w:lang w:val="en-US"/>
        </w:rPr>
      </w:pPr>
      <w:r w:rsidRPr="0048080E">
        <w:rPr>
          <w:b/>
          <w:bCs/>
          <w:highlight w:val="white"/>
          <w:lang w:val="en-US"/>
        </w:rPr>
        <w:t>Create an Indicator for Constant Modality (HD or PD):</w:t>
      </w:r>
    </w:p>
    <w:p w14:paraId="1DC7B536" w14:textId="77777777" w:rsidR="0048080E" w:rsidRPr="0048080E" w:rsidRDefault="0048080E" w:rsidP="0048080E">
      <w:pPr>
        <w:numPr>
          <w:ilvl w:val="1"/>
          <w:numId w:val="45"/>
        </w:numPr>
        <w:rPr>
          <w:highlight w:val="white"/>
          <w:lang w:val="en-US"/>
        </w:rPr>
      </w:pPr>
      <w:r w:rsidRPr="0048080E">
        <w:rPr>
          <w:highlight w:val="white"/>
          <w:lang w:val="en-US"/>
        </w:rPr>
        <w:t xml:space="preserve">Identify individuals who remained on the same modality throughout the study period (even if they switched within the broader modality categories, such as from center </w:t>
      </w:r>
      <w:proofErr w:type="spellStart"/>
      <w:r w:rsidRPr="0048080E">
        <w:rPr>
          <w:highlight w:val="white"/>
          <w:lang w:val="en-US"/>
        </w:rPr>
        <w:t>hemo</w:t>
      </w:r>
      <w:proofErr w:type="spellEnd"/>
      <w:r w:rsidRPr="0048080E">
        <w:rPr>
          <w:highlight w:val="white"/>
          <w:lang w:val="en-US"/>
        </w:rPr>
        <w:t xml:space="preserve"> to home </w:t>
      </w:r>
      <w:proofErr w:type="spellStart"/>
      <w:r w:rsidRPr="0048080E">
        <w:rPr>
          <w:highlight w:val="white"/>
          <w:lang w:val="en-US"/>
        </w:rPr>
        <w:t>hemo</w:t>
      </w:r>
      <w:proofErr w:type="spellEnd"/>
      <w:r w:rsidRPr="0048080E">
        <w:rPr>
          <w:highlight w:val="white"/>
          <w:lang w:val="en-US"/>
        </w:rPr>
        <w:t>). This indicator reflects whether someone was consistently on either HD or PD.</w:t>
      </w:r>
    </w:p>
    <w:p w14:paraId="117FA413" w14:textId="77777777" w:rsidR="0048080E" w:rsidRPr="0048080E" w:rsidRDefault="0048080E" w:rsidP="0048080E">
      <w:pPr>
        <w:numPr>
          <w:ilvl w:val="0"/>
          <w:numId w:val="45"/>
        </w:numPr>
        <w:rPr>
          <w:highlight w:val="white"/>
          <w:lang w:val="en-US"/>
        </w:rPr>
      </w:pPr>
      <w:r w:rsidRPr="0048080E">
        <w:rPr>
          <w:b/>
          <w:bCs/>
          <w:highlight w:val="white"/>
          <w:lang w:val="en-US"/>
        </w:rPr>
        <w:t>Create a Switch Summary by USRDS_ID:</w:t>
      </w:r>
    </w:p>
    <w:p w14:paraId="68C61D01" w14:textId="77777777" w:rsidR="0048080E" w:rsidRPr="0048080E" w:rsidRDefault="0048080E" w:rsidP="0048080E">
      <w:pPr>
        <w:numPr>
          <w:ilvl w:val="1"/>
          <w:numId w:val="45"/>
        </w:numPr>
        <w:rPr>
          <w:highlight w:val="white"/>
          <w:lang w:val="en-US"/>
        </w:rPr>
      </w:pPr>
      <w:r w:rsidRPr="0048080E">
        <w:rPr>
          <w:highlight w:val="white"/>
          <w:lang w:val="en-US"/>
        </w:rPr>
        <w:t xml:space="preserve">For </w:t>
      </w:r>
      <w:proofErr w:type="gramStart"/>
      <w:r w:rsidRPr="0048080E">
        <w:rPr>
          <w:highlight w:val="white"/>
          <w:lang w:val="en-US"/>
        </w:rPr>
        <w:t>each individual</w:t>
      </w:r>
      <w:proofErr w:type="gramEnd"/>
      <w:r w:rsidRPr="0048080E">
        <w:rPr>
          <w:highlight w:val="white"/>
          <w:lang w:val="en-US"/>
        </w:rPr>
        <w:t xml:space="preserve">, </w:t>
      </w:r>
      <w:r w:rsidRPr="0048080E">
        <w:rPr>
          <w:b/>
          <w:bCs/>
          <w:highlight w:val="white"/>
          <w:lang w:val="en-US"/>
        </w:rPr>
        <w:t>sum</w:t>
      </w:r>
      <w:r w:rsidRPr="0048080E">
        <w:rPr>
          <w:highlight w:val="white"/>
          <w:lang w:val="en-US"/>
        </w:rPr>
        <w:t xml:space="preserve"> the contents of the switch column. Individuals with a sum of </w:t>
      </w:r>
      <w:r w:rsidRPr="0048080E">
        <w:rPr>
          <w:b/>
          <w:bCs/>
          <w:highlight w:val="white"/>
          <w:lang w:val="en-US"/>
        </w:rPr>
        <w:t>0</w:t>
      </w:r>
      <w:r w:rsidRPr="0048080E">
        <w:rPr>
          <w:highlight w:val="white"/>
          <w:lang w:val="en-US"/>
        </w:rPr>
        <w:t xml:space="preserve"> indicate no switch, while a sum greater than 0 indicates at least one modality switch.</w:t>
      </w:r>
    </w:p>
    <w:p w14:paraId="1353A0BC" w14:textId="77777777" w:rsidR="0048080E" w:rsidRPr="0048080E" w:rsidRDefault="0048080E" w:rsidP="0048080E">
      <w:pPr>
        <w:numPr>
          <w:ilvl w:val="1"/>
          <w:numId w:val="45"/>
        </w:numPr>
        <w:rPr>
          <w:highlight w:val="white"/>
          <w:lang w:val="en-US"/>
        </w:rPr>
      </w:pPr>
      <w:r w:rsidRPr="0048080E">
        <w:rPr>
          <w:highlight w:val="white"/>
          <w:lang w:val="en-US"/>
        </w:rPr>
        <w:t>Create a binary indicator variable based on this sum:</w:t>
      </w:r>
    </w:p>
    <w:p w14:paraId="0A49F8F5" w14:textId="77777777" w:rsidR="0048080E" w:rsidRPr="0048080E" w:rsidRDefault="0048080E" w:rsidP="0048080E">
      <w:pPr>
        <w:numPr>
          <w:ilvl w:val="2"/>
          <w:numId w:val="45"/>
        </w:numPr>
        <w:rPr>
          <w:highlight w:val="white"/>
          <w:lang w:val="en-US"/>
        </w:rPr>
      </w:pPr>
      <w:r w:rsidRPr="0048080E">
        <w:rPr>
          <w:b/>
          <w:bCs/>
          <w:highlight w:val="white"/>
          <w:lang w:val="en-US"/>
        </w:rPr>
        <w:t>0</w:t>
      </w:r>
      <w:r w:rsidRPr="0048080E">
        <w:rPr>
          <w:highlight w:val="white"/>
          <w:lang w:val="en-US"/>
        </w:rPr>
        <w:t xml:space="preserve"> for no switch or only switches within the same broader modality category (HD to HD or PD to PD).</w:t>
      </w:r>
    </w:p>
    <w:p w14:paraId="52E08C5F" w14:textId="77777777" w:rsidR="0048080E" w:rsidRPr="0048080E" w:rsidRDefault="0048080E" w:rsidP="0048080E">
      <w:pPr>
        <w:numPr>
          <w:ilvl w:val="2"/>
          <w:numId w:val="45"/>
        </w:numPr>
        <w:rPr>
          <w:highlight w:val="white"/>
          <w:lang w:val="en-US"/>
        </w:rPr>
      </w:pPr>
      <w:r w:rsidRPr="0048080E">
        <w:rPr>
          <w:b/>
          <w:bCs/>
          <w:highlight w:val="white"/>
          <w:lang w:val="en-US"/>
        </w:rPr>
        <w:t>1</w:t>
      </w:r>
      <w:r w:rsidRPr="0048080E">
        <w:rPr>
          <w:highlight w:val="white"/>
          <w:lang w:val="en-US"/>
        </w:rPr>
        <w:t xml:space="preserve"> for individuals who switched between modalities (e.g., HD to PD or vice versa).</w:t>
      </w:r>
    </w:p>
    <w:p w14:paraId="0B75E94A" w14:textId="77777777" w:rsidR="0048080E" w:rsidRPr="0048080E" w:rsidRDefault="0048080E" w:rsidP="0048080E">
      <w:pPr>
        <w:numPr>
          <w:ilvl w:val="0"/>
          <w:numId w:val="45"/>
        </w:numPr>
        <w:rPr>
          <w:highlight w:val="white"/>
          <w:lang w:val="en-US"/>
        </w:rPr>
      </w:pPr>
      <w:r w:rsidRPr="0048080E">
        <w:rPr>
          <w:b/>
          <w:bCs/>
          <w:highlight w:val="white"/>
          <w:lang w:val="en-US"/>
        </w:rPr>
        <w:t>Add the Switch Indicator to the Claims Document:</w:t>
      </w:r>
    </w:p>
    <w:p w14:paraId="45836804" w14:textId="77777777" w:rsidR="0048080E" w:rsidRPr="0048080E" w:rsidRDefault="0048080E" w:rsidP="0048080E">
      <w:pPr>
        <w:numPr>
          <w:ilvl w:val="1"/>
          <w:numId w:val="45"/>
        </w:numPr>
        <w:rPr>
          <w:highlight w:val="white"/>
          <w:lang w:val="en-US"/>
        </w:rPr>
      </w:pPr>
      <w:r w:rsidRPr="0048080E">
        <w:rPr>
          <w:highlight w:val="white"/>
          <w:lang w:val="en-US"/>
        </w:rPr>
        <w:t>Incorporate this new indicator variable into the claims file and use the modality information to determine whether the individual was on HD or PD for the entire study period.</w:t>
      </w:r>
    </w:p>
    <w:p w14:paraId="5D3A3AC4" w14:textId="77777777" w:rsidR="0048080E" w:rsidRPr="0048080E" w:rsidRDefault="0048080E" w:rsidP="0048080E">
      <w:pPr>
        <w:numPr>
          <w:ilvl w:val="1"/>
          <w:numId w:val="45"/>
        </w:numPr>
        <w:rPr>
          <w:highlight w:val="white"/>
          <w:lang w:val="en-US"/>
        </w:rPr>
      </w:pPr>
      <w:r w:rsidRPr="0048080E">
        <w:rPr>
          <w:highlight w:val="white"/>
          <w:lang w:val="en-US"/>
        </w:rPr>
        <w:t>Create two additional indicator variables to flag whether an individual stayed on HD or PD the entire time.</w:t>
      </w:r>
    </w:p>
    <w:p w14:paraId="1DED5ED3" w14:textId="77777777" w:rsidR="0048080E" w:rsidRPr="0048080E" w:rsidRDefault="0048080E" w:rsidP="0048080E">
      <w:pPr>
        <w:numPr>
          <w:ilvl w:val="0"/>
          <w:numId w:val="45"/>
        </w:numPr>
        <w:rPr>
          <w:highlight w:val="white"/>
          <w:lang w:val="en-US"/>
        </w:rPr>
      </w:pPr>
      <w:r w:rsidRPr="0048080E">
        <w:rPr>
          <w:b/>
          <w:bCs/>
          <w:highlight w:val="white"/>
          <w:lang w:val="en-US"/>
        </w:rPr>
        <w:t>Identify Individuals with More Than One Switch:</w:t>
      </w:r>
    </w:p>
    <w:p w14:paraId="365B9487" w14:textId="77777777" w:rsidR="0048080E" w:rsidRPr="0048080E" w:rsidRDefault="0048080E" w:rsidP="0048080E">
      <w:pPr>
        <w:numPr>
          <w:ilvl w:val="1"/>
          <w:numId w:val="45"/>
        </w:numPr>
        <w:rPr>
          <w:highlight w:val="white"/>
          <w:lang w:val="en-US"/>
        </w:rPr>
      </w:pPr>
      <w:r w:rsidRPr="0048080E">
        <w:rPr>
          <w:b/>
          <w:bCs/>
          <w:highlight w:val="white"/>
          <w:lang w:val="en-US"/>
        </w:rPr>
        <w:t>Count</w:t>
      </w:r>
      <w:r w:rsidRPr="0048080E">
        <w:rPr>
          <w:highlight w:val="white"/>
          <w:lang w:val="en-US"/>
        </w:rPr>
        <w:t xml:space="preserve"> the number of switch dates per individual, then create an indicator variable to flag individuals who had more than one switch (i.e., </w:t>
      </w:r>
      <w:proofErr w:type="spellStart"/>
      <w:r w:rsidRPr="0048080E">
        <w:rPr>
          <w:b/>
          <w:bCs/>
          <w:highlight w:val="white"/>
          <w:lang w:val="en-US"/>
        </w:rPr>
        <w:t>multiswitch</w:t>
      </w:r>
      <w:proofErr w:type="spellEnd"/>
      <w:r w:rsidRPr="0048080E">
        <w:rPr>
          <w:highlight w:val="white"/>
          <w:lang w:val="en-US"/>
        </w:rPr>
        <w:t>).</w:t>
      </w:r>
    </w:p>
    <w:p w14:paraId="725DCAA5" w14:textId="77777777" w:rsidR="0048080E" w:rsidRPr="0048080E" w:rsidRDefault="0048080E" w:rsidP="0048080E">
      <w:pPr>
        <w:numPr>
          <w:ilvl w:val="0"/>
          <w:numId w:val="45"/>
        </w:numPr>
        <w:rPr>
          <w:highlight w:val="white"/>
          <w:lang w:val="en-US"/>
        </w:rPr>
      </w:pPr>
      <w:r w:rsidRPr="0048080E">
        <w:rPr>
          <w:b/>
          <w:bCs/>
          <w:highlight w:val="white"/>
          <w:lang w:val="en-US"/>
        </w:rPr>
        <w:t>Remove Switch Dates for Individuals with Multiple Switches:</w:t>
      </w:r>
    </w:p>
    <w:p w14:paraId="13340059" w14:textId="77777777" w:rsidR="0048080E" w:rsidRPr="0048080E" w:rsidRDefault="0048080E" w:rsidP="0048080E">
      <w:pPr>
        <w:numPr>
          <w:ilvl w:val="1"/>
          <w:numId w:val="45"/>
        </w:numPr>
        <w:rPr>
          <w:highlight w:val="white"/>
          <w:lang w:val="en-US"/>
        </w:rPr>
      </w:pPr>
      <w:r w:rsidRPr="0048080E">
        <w:rPr>
          <w:highlight w:val="white"/>
          <w:lang w:val="en-US"/>
        </w:rPr>
        <w:t xml:space="preserve">For individuals with more than one switch, remove any switch dates, and create variables indicating whether the switch occurred </w:t>
      </w:r>
      <w:r w:rsidRPr="0048080E">
        <w:rPr>
          <w:b/>
          <w:bCs/>
          <w:highlight w:val="white"/>
          <w:lang w:val="en-US"/>
        </w:rPr>
        <w:t>before</w:t>
      </w:r>
      <w:r w:rsidRPr="0048080E">
        <w:rPr>
          <w:highlight w:val="white"/>
          <w:lang w:val="en-US"/>
        </w:rPr>
        <w:t xml:space="preserve"> the end date of their cohort’s study period:</w:t>
      </w:r>
    </w:p>
    <w:p w14:paraId="4CFE1918" w14:textId="77777777" w:rsidR="0048080E" w:rsidRPr="0048080E" w:rsidRDefault="0048080E" w:rsidP="0048080E">
      <w:pPr>
        <w:numPr>
          <w:ilvl w:val="2"/>
          <w:numId w:val="45"/>
        </w:numPr>
        <w:rPr>
          <w:highlight w:val="white"/>
          <w:lang w:val="en-US"/>
        </w:rPr>
      </w:pPr>
      <w:r w:rsidRPr="0048080E">
        <w:rPr>
          <w:b/>
          <w:bCs/>
          <w:highlight w:val="white"/>
          <w:lang w:val="en-US"/>
        </w:rPr>
        <w:t>Cohort 0</w:t>
      </w:r>
      <w:r w:rsidRPr="0048080E">
        <w:rPr>
          <w:highlight w:val="white"/>
          <w:lang w:val="en-US"/>
        </w:rPr>
        <w:t>: December 31, 2010</w:t>
      </w:r>
    </w:p>
    <w:p w14:paraId="4B15817D" w14:textId="77777777" w:rsidR="0048080E" w:rsidRPr="0048080E" w:rsidRDefault="0048080E" w:rsidP="0048080E">
      <w:pPr>
        <w:numPr>
          <w:ilvl w:val="2"/>
          <w:numId w:val="45"/>
        </w:numPr>
        <w:rPr>
          <w:highlight w:val="white"/>
          <w:lang w:val="en-US"/>
        </w:rPr>
      </w:pPr>
      <w:r w:rsidRPr="0048080E">
        <w:rPr>
          <w:b/>
          <w:bCs/>
          <w:highlight w:val="white"/>
          <w:lang w:val="en-US"/>
        </w:rPr>
        <w:t>Cohort 1</w:t>
      </w:r>
      <w:r w:rsidRPr="0048080E">
        <w:rPr>
          <w:highlight w:val="white"/>
          <w:lang w:val="en-US"/>
        </w:rPr>
        <w:t>: December 31, 2013</w:t>
      </w:r>
    </w:p>
    <w:p w14:paraId="13157519" w14:textId="77777777" w:rsidR="0048080E" w:rsidRPr="0048080E" w:rsidRDefault="0048080E" w:rsidP="0048080E">
      <w:pPr>
        <w:numPr>
          <w:ilvl w:val="0"/>
          <w:numId w:val="45"/>
        </w:numPr>
        <w:rPr>
          <w:highlight w:val="white"/>
          <w:lang w:val="en-US"/>
        </w:rPr>
      </w:pPr>
      <w:r w:rsidRPr="0048080E">
        <w:rPr>
          <w:b/>
          <w:bCs/>
          <w:highlight w:val="white"/>
          <w:lang w:val="en-US"/>
        </w:rPr>
        <w:t>Create Indicator Variables for the Four Categories of Switches:</w:t>
      </w:r>
    </w:p>
    <w:p w14:paraId="393A0E02" w14:textId="77777777" w:rsidR="0048080E" w:rsidRPr="0048080E" w:rsidRDefault="0048080E" w:rsidP="0048080E">
      <w:pPr>
        <w:numPr>
          <w:ilvl w:val="1"/>
          <w:numId w:val="45"/>
        </w:numPr>
        <w:rPr>
          <w:highlight w:val="white"/>
          <w:lang w:val="en-US"/>
        </w:rPr>
      </w:pPr>
      <w:r w:rsidRPr="0048080E">
        <w:rPr>
          <w:b/>
          <w:bCs/>
          <w:highlight w:val="white"/>
          <w:lang w:val="en-US"/>
        </w:rPr>
        <w:t>HD to PD (more than six months before cohort end date)</w:t>
      </w:r>
      <w:r w:rsidRPr="0048080E">
        <w:rPr>
          <w:highlight w:val="white"/>
          <w:lang w:val="en-US"/>
        </w:rPr>
        <w:t>.</w:t>
      </w:r>
    </w:p>
    <w:p w14:paraId="033838F9" w14:textId="77777777" w:rsidR="0048080E" w:rsidRPr="0048080E" w:rsidRDefault="0048080E" w:rsidP="0048080E">
      <w:pPr>
        <w:numPr>
          <w:ilvl w:val="1"/>
          <w:numId w:val="45"/>
        </w:numPr>
        <w:rPr>
          <w:highlight w:val="white"/>
          <w:lang w:val="en-US"/>
        </w:rPr>
      </w:pPr>
      <w:r w:rsidRPr="0048080E">
        <w:rPr>
          <w:b/>
          <w:bCs/>
          <w:highlight w:val="white"/>
          <w:lang w:val="en-US"/>
        </w:rPr>
        <w:t>HD to PD (within six months of cohort end date)</w:t>
      </w:r>
      <w:r w:rsidRPr="0048080E">
        <w:rPr>
          <w:highlight w:val="white"/>
          <w:lang w:val="en-US"/>
        </w:rPr>
        <w:t>.</w:t>
      </w:r>
    </w:p>
    <w:p w14:paraId="1EEE5E8F" w14:textId="77777777" w:rsidR="0048080E" w:rsidRPr="0048080E" w:rsidRDefault="0048080E" w:rsidP="0048080E">
      <w:pPr>
        <w:numPr>
          <w:ilvl w:val="1"/>
          <w:numId w:val="45"/>
        </w:numPr>
        <w:rPr>
          <w:highlight w:val="white"/>
          <w:lang w:val="en-US"/>
        </w:rPr>
      </w:pPr>
      <w:r w:rsidRPr="0048080E">
        <w:rPr>
          <w:b/>
          <w:bCs/>
          <w:highlight w:val="white"/>
          <w:lang w:val="en-US"/>
        </w:rPr>
        <w:t>PD to HD (more than six months before cohort end date)</w:t>
      </w:r>
      <w:r w:rsidRPr="0048080E">
        <w:rPr>
          <w:highlight w:val="white"/>
          <w:lang w:val="en-US"/>
        </w:rPr>
        <w:t>.</w:t>
      </w:r>
    </w:p>
    <w:p w14:paraId="39AE4CF9" w14:textId="77777777" w:rsidR="0048080E" w:rsidRPr="0048080E" w:rsidRDefault="0048080E" w:rsidP="0048080E">
      <w:pPr>
        <w:numPr>
          <w:ilvl w:val="1"/>
          <w:numId w:val="45"/>
        </w:numPr>
        <w:rPr>
          <w:highlight w:val="white"/>
          <w:lang w:val="en-US"/>
        </w:rPr>
      </w:pPr>
      <w:r w:rsidRPr="0048080E">
        <w:rPr>
          <w:b/>
          <w:bCs/>
          <w:highlight w:val="white"/>
          <w:lang w:val="en-US"/>
        </w:rPr>
        <w:t>PD to HD (within six months of cohort end date)</w:t>
      </w:r>
      <w:r w:rsidRPr="0048080E">
        <w:rPr>
          <w:highlight w:val="white"/>
          <w:lang w:val="en-US"/>
        </w:rPr>
        <w:t>.</w:t>
      </w:r>
    </w:p>
    <w:p w14:paraId="6ECBBFB3" w14:textId="77777777" w:rsidR="0048080E" w:rsidRPr="0048080E" w:rsidRDefault="0048080E" w:rsidP="0048080E">
      <w:pPr>
        <w:numPr>
          <w:ilvl w:val="0"/>
          <w:numId w:val="45"/>
        </w:numPr>
        <w:rPr>
          <w:highlight w:val="white"/>
          <w:lang w:val="en-US"/>
        </w:rPr>
      </w:pPr>
      <w:r w:rsidRPr="0048080E">
        <w:rPr>
          <w:b/>
          <w:bCs/>
          <w:highlight w:val="white"/>
          <w:lang w:val="en-US"/>
        </w:rPr>
        <w:t>Create a Summary Table:</w:t>
      </w:r>
    </w:p>
    <w:p w14:paraId="19862EAA" w14:textId="77777777" w:rsidR="0048080E" w:rsidRPr="0048080E" w:rsidRDefault="0048080E" w:rsidP="0048080E">
      <w:pPr>
        <w:numPr>
          <w:ilvl w:val="1"/>
          <w:numId w:val="45"/>
        </w:numPr>
        <w:rPr>
          <w:highlight w:val="white"/>
          <w:lang w:val="en-US"/>
        </w:rPr>
      </w:pPr>
      <w:r w:rsidRPr="0048080E">
        <w:rPr>
          <w:highlight w:val="white"/>
          <w:lang w:val="en-US"/>
        </w:rPr>
        <w:t>Create a table with one row per participant and an indicator of which of the seven groups they fall into.</w:t>
      </w:r>
    </w:p>
    <w:p w14:paraId="4BB8F451" w14:textId="77777777" w:rsidR="0048080E" w:rsidRPr="0048080E" w:rsidRDefault="0048080E" w:rsidP="0048080E">
      <w:pPr>
        <w:numPr>
          <w:ilvl w:val="1"/>
          <w:numId w:val="45"/>
        </w:numPr>
        <w:rPr>
          <w:highlight w:val="white"/>
          <w:lang w:val="en-US"/>
        </w:rPr>
      </w:pPr>
      <w:r w:rsidRPr="0048080E">
        <w:rPr>
          <w:highlight w:val="white"/>
          <w:lang w:val="en-US"/>
        </w:rPr>
        <w:t xml:space="preserve">For each indicator variable (one per group), </w:t>
      </w:r>
      <w:r w:rsidRPr="0048080E">
        <w:rPr>
          <w:b/>
          <w:bCs/>
          <w:highlight w:val="white"/>
          <w:lang w:val="en-US"/>
        </w:rPr>
        <w:t>sum</w:t>
      </w:r>
      <w:r w:rsidRPr="0048080E">
        <w:rPr>
          <w:highlight w:val="white"/>
          <w:lang w:val="en-US"/>
        </w:rPr>
        <w:t xml:space="preserve"> the number of 1s across all claims for </w:t>
      </w:r>
      <w:proofErr w:type="gramStart"/>
      <w:r w:rsidRPr="0048080E">
        <w:rPr>
          <w:highlight w:val="white"/>
          <w:lang w:val="en-US"/>
        </w:rPr>
        <w:t>each individual</w:t>
      </w:r>
      <w:proofErr w:type="gramEnd"/>
      <w:r w:rsidRPr="0048080E">
        <w:rPr>
          <w:highlight w:val="white"/>
          <w:lang w:val="en-US"/>
        </w:rPr>
        <w:t xml:space="preserve">, grouped by </w:t>
      </w:r>
      <w:r w:rsidRPr="0048080E">
        <w:rPr>
          <w:b/>
          <w:bCs/>
          <w:highlight w:val="white"/>
          <w:lang w:val="en-US"/>
        </w:rPr>
        <w:t>USRDS_ID</w:t>
      </w:r>
      <w:r w:rsidRPr="0048080E">
        <w:rPr>
          <w:highlight w:val="white"/>
          <w:lang w:val="en-US"/>
        </w:rPr>
        <w:t>.</w:t>
      </w:r>
    </w:p>
    <w:p w14:paraId="1181A8FC" w14:textId="77777777" w:rsidR="0048080E" w:rsidRPr="0048080E" w:rsidRDefault="0048080E" w:rsidP="0048080E">
      <w:pPr>
        <w:numPr>
          <w:ilvl w:val="1"/>
          <w:numId w:val="45"/>
        </w:numPr>
        <w:rPr>
          <w:highlight w:val="white"/>
          <w:lang w:val="en-US"/>
        </w:rPr>
      </w:pPr>
      <w:r w:rsidRPr="0048080E">
        <w:rPr>
          <w:highlight w:val="white"/>
          <w:lang w:val="en-US"/>
        </w:rPr>
        <w:t>Reset any values greater than 1 to 1, resulting in a binary indicator variable.</w:t>
      </w:r>
    </w:p>
    <w:p w14:paraId="529A1D81" w14:textId="77777777" w:rsidR="003720EF" w:rsidRPr="008242E7" w:rsidRDefault="003720EF">
      <w:pPr>
        <w:rPr>
          <w:highlight w:val="white"/>
        </w:rPr>
      </w:pPr>
    </w:p>
    <w:p w14:paraId="7D6AD1C6" w14:textId="537E45B3" w:rsidR="003720EF" w:rsidRPr="008242E7" w:rsidRDefault="00D76087">
      <w:pPr>
        <w:rPr>
          <w:highlight w:val="white"/>
        </w:rPr>
      </w:pPr>
      <w:r w:rsidRPr="008242E7">
        <w:rPr>
          <w:highlight w:val="white"/>
        </w:rPr>
        <w:t>At the end of this process, the following breakout of the sample into these groups was obtained:</w:t>
      </w:r>
    </w:p>
    <w:p w14:paraId="05FE9910" w14:textId="77777777" w:rsidR="003720EF" w:rsidRPr="008242E7" w:rsidRDefault="003720EF">
      <w:pPr>
        <w:rPr>
          <w:highlight w:val="white"/>
        </w:rPr>
      </w:pPr>
    </w:p>
    <w:tbl>
      <w:tblPr>
        <w:tblStyle w:val="a1"/>
        <w:tblW w:w="6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5"/>
        <w:gridCol w:w="2520"/>
      </w:tblGrid>
      <w:tr w:rsidR="003720EF" w:rsidRPr="008242E7" w14:paraId="040F4CD9" w14:textId="77777777">
        <w:tc>
          <w:tcPr>
            <w:tcW w:w="4035" w:type="dxa"/>
            <w:shd w:val="clear" w:color="auto" w:fill="auto"/>
            <w:tcMar>
              <w:top w:w="100" w:type="dxa"/>
              <w:left w:w="100" w:type="dxa"/>
              <w:bottom w:w="100" w:type="dxa"/>
              <w:right w:w="100" w:type="dxa"/>
            </w:tcMar>
          </w:tcPr>
          <w:p w14:paraId="13429F4E"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Group Designation</w:t>
            </w:r>
          </w:p>
        </w:tc>
        <w:tc>
          <w:tcPr>
            <w:tcW w:w="2520" w:type="dxa"/>
            <w:shd w:val="clear" w:color="auto" w:fill="auto"/>
            <w:tcMar>
              <w:top w:w="100" w:type="dxa"/>
              <w:left w:w="100" w:type="dxa"/>
              <w:bottom w:w="100" w:type="dxa"/>
              <w:right w:w="100" w:type="dxa"/>
            </w:tcMar>
          </w:tcPr>
          <w:p w14:paraId="7DE6386B"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Number of Individuals (Percent)</w:t>
            </w:r>
          </w:p>
        </w:tc>
      </w:tr>
      <w:tr w:rsidR="003720EF" w:rsidRPr="008242E7" w14:paraId="48C3CC1D" w14:textId="77777777">
        <w:tc>
          <w:tcPr>
            <w:tcW w:w="4035" w:type="dxa"/>
            <w:shd w:val="clear" w:color="auto" w:fill="auto"/>
            <w:tcMar>
              <w:top w:w="100" w:type="dxa"/>
              <w:left w:w="100" w:type="dxa"/>
              <w:bottom w:w="100" w:type="dxa"/>
              <w:right w:w="100" w:type="dxa"/>
            </w:tcMar>
          </w:tcPr>
          <w:p w14:paraId="5A03CA91"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Peritoneal Only</w:t>
            </w:r>
          </w:p>
        </w:tc>
        <w:tc>
          <w:tcPr>
            <w:tcW w:w="2520" w:type="dxa"/>
            <w:shd w:val="clear" w:color="auto" w:fill="auto"/>
            <w:tcMar>
              <w:top w:w="100" w:type="dxa"/>
              <w:left w:w="100" w:type="dxa"/>
              <w:bottom w:w="100" w:type="dxa"/>
              <w:right w:w="100" w:type="dxa"/>
            </w:tcMar>
          </w:tcPr>
          <w:p w14:paraId="5E7EFD2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957 (4.3%)</w:t>
            </w:r>
          </w:p>
        </w:tc>
      </w:tr>
      <w:tr w:rsidR="003720EF" w:rsidRPr="008242E7" w14:paraId="1B958C4E" w14:textId="77777777">
        <w:tc>
          <w:tcPr>
            <w:tcW w:w="4035" w:type="dxa"/>
            <w:shd w:val="clear" w:color="auto" w:fill="auto"/>
            <w:tcMar>
              <w:top w:w="100" w:type="dxa"/>
              <w:left w:w="100" w:type="dxa"/>
              <w:bottom w:w="100" w:type="dxa"/>
              <w:right w:w="100" w:type="dxa"/>
            </w:tcMar>
          </w:tcPr>
          <w:p w14:paraId="1A7A5EC9"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HD Only</w:t>
            </w:r>
          </w:p>
        </w:tc>
        <w:tc>
          <w:tcPr>
            <w:tcW w:w="2520" w:type="dxa"/>
            <w:shd w:val="clear" w:color="auto" w:fill="auto"/>
            <w:tcMar>
              <w:top w:w="100" w:type="dxa"/>
              <w:left w:w="100" w:type="dxa"/>
              <w:bottom w:w="100" w:type="dxa"/>
              <w:right w:w="100" w:type="dxa"/>
            </w:tcMar>
          </w:tcPr>
          <w:p w14:paraId="63930E39"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20,033 (89.6%)</w:t>
            </w:r>
          </w:p>
        </w:tc>
      </w:tr>
      <w:tr w:rsidR="003720EF" w:rsidRPr="008242E7" w14:paraId="46E04064" w14:textId="77777777">
        <w:tc>
          <w:tcPr>
            <w:tcW w:w="4035" w:type="dxa"/>
            <w:shd w:val="clear" w:color="auto" w:fill="auto"/>
            <w:tcMar>
              <w:top w:w="100" w:type="dxa"/>
              <w:left w:w="100" w:type="dxa"/>
              <w:bottom w:w="100" w:type="dxa"/>
              <w:right w:w="100" w:type="dxa"/>
            </w:tcMar>
          </w:tcPr>
          <w:p w14:paraId="53345FE1" w14:textId="77777777" w:rsidR="003720EF" w:rsidRPr="008242E7" w:rsidRDefault="00D76087">
            <w:pPr>
              <w:widowControl w:val="0"/>
              <w:pBdr>
                <w:top w:val="nil"/>
                <w:left w:val="nil"/>
                <w:bottom w:val="nil"/>
                <w:right w:val="nil"/>
                <w:between w:val="nil"/>
              </w:pBdr>
              <w:spacing w:line="240" w:lineRule="auto"/>
              <w:rPr>
                <w:highlight w:val="white"/>
              </w:rPr>
            </w:pPr>
            <w:proofErr w:type="gramStart"/>
            <w:r w:rsidRPr="008242E7">
              <w:rPr>
                <w:highlight w:val="white"/>
              </w:rPr>
              <w:t>Peritoneal  to</w:t>
            </w:r>
            <w:proofErr w:type="gramEnd"/>
            <w:r w:rsidRPr="008242E7">
              <w:rPr>
                <w:highlight w:val="white"/>
              </w:rPr>
              <w:t xml:space="preserve"> HD Switch</w:t>
            </w:r>
          </w:p>
        </w:tc>
        <w:tc>
          <w:tcPr>
            <w:tcW w:w="2520" w:type="dxa"/>
            <w:shd w:val="clear" w:color="auto" w:fill="auto"/>
            <w:tcMar>
              <w:top w:w="100" w:type="dxa"/>
              <w:left w:w="100" w:type="dxa"/>
              <w:bottom w:w="100" w:type="dxa"/>
              <w:right w:w="100" w:type="dxa"/>
            </w:tcMar>
          </w:tcPr>
          <w:p w14:paraId="1B4F28E3"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304 (1.4%)</w:t>
            </w:r>
          </w:p>
        </w:tc>
      </w:tr>
      <w:tr w:rsidR="003720EF" w:rsidRPr="008242E7" w14:paraId="7DEFA485" w14:textId="77777777">
        <w:tc>
          <w:tcPr>
            <w:tcW w:w="4035" w:type="dxa"/>
            <w:shd w:val="clear" w:color="auto" w:fill="auto"/>
            <w:tcMar>
              <w:top w:w="100" w:type="dxa"/>
              <w:left w:w="100" w:type="dxa"/>
              <w:bottom w:w="100" w:type="dxa"/>
              <w:right w:w="100" w:type="dxa"/>
            </w:tcMar>
          </w:tcPr>
          <w:p w14:paraId="24131173"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HD to Peritoneal Switch</w:t>
            </w:r>
          </w:p>
        </w:tc>
        <w:tc>
          <w:tcPr>
            <w:tcW w:w="2520" w:type="dxa"/>
            <w:shd w:val="clear" w:color="auto" w:fill="auto"/>
            <w:tcMar>
              <w:top w:w="100" w:type="dxa"/>
              <w:left w:w="100" w:type="dxa"/>
              <w:bottom w:w="100" w:type="dxa"/>
              <w:right w:w="100" w:type="dxa"/>
            </w:tcMar>
          </w:tcPr>
          <w:p w14:paraId="0A912972"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156 (0.7%)</w:t>
            </w:r>
          </w:p>
        </w:tc>
      </w:tr>
      <w:tr w:rsidR="003720EF" w:rsidRPr="008242E7" w14:paraId="726177A6" w14:textId="77777777">
        <w:tc>
          <w:tcPr>
            <w:tcW w:w="4035" w:type="dxa"/>
            <w:shd w:val="clear" w:color="auto" w:fill="auto"/>
            <w:tcMar>
              <w:top w:w="100" w:type="dxa"/>
              <w:left w:w="100" w:type="dxa"/>
              <w:bottom w:w="100" w:type="dxa"/>
              <w:right w:w="100" w:type="dxa"/>
            </w:tcMar>
          </w:tcPr>
          <w:p w14:paraId="6D8785AA"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Peritoneal to HD Late Switch</w:t>
            </w:r>
          </w:p>
        </w:tc>
        <w:tc>
          <w:tcPr>
            <w:tcW w:w="2520" w:type="dxa"/>
            <w:shd w:val="clear" w:color="auto" w:fill="auto"/>
            <w:tcMar>
              <w:top w:w="100" w:type="dxa"/>
              <w:left w:w="100" w:type="dxa"/>
              <w:bottom w:w="100" w:type="dxa"/>
              <w:right w:w="100" w:type="dxa"/>
            </w:tcMar>
          </w:tcPr>
          <w:p w14:paraId="031FB4A3"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73 (0.33%)</w:t>
            </w:r>
          </w:p>
        </w:tc>
      </w:tr>
      <w:tr w:rsidR="003720EF" w:rsidRPr="008242E7" w14:paraId="3138EFF2" w14:textId="77777777">
        <w:tc>
          <w:tcPr>
            <w:tcW w:w="4035" w:type="dxa"/>
            <w:shd w:val="clear" w:color="auto" w:fill="auto"/>
            <w:tcMar>
              <w:top w:w="100" w:type="dxa"/>
              <w:left w:w="100" w:type="dxa"/>
              <w:bottom w:w="100" w:type="dxa"/>
              <w:right w:w="100" w:type="dxa"/>
            </w:tcMar>
          </w:tcPr>
          <w:p w14:paraId="2038227B"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HD to Peritoneal Late Switch</w:t>
            </w:r>
          </w:p>
        </w:tc>
        <w:tc>
          <w:tcPr>
            <w:tcW w:w="2520" w:type="dxa"/>
            <w:shd w:val="clear" w:color="auto" w:fill="auto"/>
            <w:tcMar>
              <w:top w:w="100" w:type="dxa"/>
              <w:left w:w="100" w:type="dxa"/>
              <w:bottom w:w="100" w:type="dxa"/>
              <w:right w:w="100" w:type="dxa"/>
            </w:tcMar>
          </w:tcPr>
          <w:p w14:paraId="248F86F3"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104 (0.47%)</w:t>
            </w:r>
          </w:p>
        </w:tc>
      </w:tr>
      <w:tr w:rsidR="003720EF" w:rsidRPr="008242E7" w14:paraId="6086504E" w14:textId="77777777">
        <w:tc>
          <w:tcPr>
            <w:tcW w:w="4035" w:type="dxa"/>
            <w:shd w:val="clear" w:color="auto" w:fill="auto"/>
            <w:tcMar>
              <w:top w:w="100" w:type="dxa"/>
              <w:left w:w="100" w:type="dxa"/>
              <w:bottom w:w="100" w:type="dxa"/>
              <w:right w:w="100" w:type="dxa"/>
            </w:tcMar>
          </w:tcPr>
          <w:p w14:paraId="7059DE51"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Multiple Switches</w:t>
            </w:r>
          </w:p>
        </w:tc>
        <w:tc>
          <w:tcPr>
            <w:tcW w:w="2520" w:type="dxa"/>
            <w:shd w:val="clear" w:color="auto" w:fill="auto"/>
            <w:tcMar>
              <w:top w:w="100" w:type="dxa"/>
              <w:left w:w="100" w:type="dxa"/>
              <w:bottom w:w="100" w:type="dxa"/>
              <w:right w:w="100" w:type="dxa"/>
            </w:tcMar>
          </w:tcPr>
          <w:p w14:paraId="42B2CD99"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723 (3.2%)</w:t>
            </w:r>
          </w:p>
        </w:tc>
      </w:tr>
      <w:tr w:rsidR="003720EF" w:rsidRPr="008242E7" w14:paraId="7F5748B1" w14:textId="77777777">
        <w:tc>
          <w:tcPr>
            <w:tcW w:w="4035" w:type="dxa"/>
            <w:shd w:val="clear" w:color="auto" w:fill="auto"/>
            <w:tcMar>
              <w:top w:w="100" w:type="dxa"/>
              <w:left w:w="100" w:type="dxa"/>
              <w:bottom w:w="100" w:type="dxa"/>
              <w:right w:w="100" w:type="dxa"/>
            </w:tcMar>
          </w:tcPr>
          <w:p w14:paraId="1BC3A57E" w14:textId="77777777" w:rsidR="003720EF" w:rsidRPr="008242E7" w:rsidRDefault="00D76087">
            <w:pPr>
              <w:widowControl w:val="0"/>
              <w:pBdr>
                <w:top w:val="nil"/>
                <w:left w:val="nil"/>
                <w:bottom w:val="nil"/>
                <w:right w:val="nil"/>
                <w:between w:val="nil"/>
              </w:pBdr>
              <w:spacing w:line="240" w:lineRule="auto"/>
              <w:jc w:val="right"/>
              <w:rPr>
                <w:b/>
                <w:highlight w:val="white"/>
              </w:rPr>
            </w:pPr>
            <w:r w:rsidRPr="008242E7">
              <w:rPr>
                <w:b/>
                <w:highlight w:val="white"/>
              </w:rPr>
              <w:t>Total</w:t>
            </w:r>
          </w:p>
        </w:tc>
        <w:tc>
          <w:tcPr>
            <w:tcW w:w="2520" w:type="dxa"/>
            <w:shd w:val="clear" w:color="auto" w:fill="auto"/>
            <w:tcMar>
              <w:top w:w="100" w:type="dxa"/>
              <w:left w:w="100" w:type="dxa"/>
              <w:bottom w:w="100" w:type="dxa"/>
              <w:right w:w="100" w:type="dxa"/>
            </w:tcMar>
          </w:tcPr>
          <w:p w14:paraId="3BB08E7E"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22,350 (100%)</w:t>
            </w:r>
            <w:r w:rsidRPr="008242E7">
              <w:rPr>
                <w:b/>
                <w:highlight w:val="white"/>
                <w:vertAlign w:val="superscript"/>
              </w:rPr>
              <w:footnoteReference w:id="1"/>
            </w:r>
          </w:p>
        </w:tc>
      </w:tr>
    </w:tbl>
    <w:p w14:paraId="528CB519" w14:textId="77777777" w:rsidR="003720EF" w:rsidRPr="008242E7" w:rsidRDefault="003720EF">
      <w:pPr>
        <w:rPr>
          <w:highlight w:val="white"/>
        </w:rPr>
      </w:pPr>
    </w:p>
    <w:p w14:paraId="611A61A7" w14:textId="0F9FBB9B" w:rsidR="0048080E" w:rsidRPr="0048080E" w:rsidRDefault="0048080E" w:rsidP="0048080E">
      <w:pPr>
        <w:pStyle w:val="ListParagraph"/>
        <w:numPr>
          <w:ilvl w:val="0"/>
          <w:numId w:val="34"/>
        </w:numPr>
        <w:rPr>
          <w:highlight w:val="white"/>
          <w:lang w:val="en-US"/>
        </w:rPr>
      </w:pPr>
      <w:r w:rsidRPr="0048080E">
        <w:rPr>
          <w:highlight w:val="white"/>
          <w:lang w:val="en-US"/>
        </w:rPr>
        <w:t xml:space="preserve">After creating the modality groups, individuals were categorized into one of three groups: </w:t>
      </w:r>
      <w:r w:rsidRPr="0048080E">
        <w:rPr>
          <w:b/>
          <w:bCs/>
          <w:highlight w:val="white"/>
          <w:lang w:val="en-US"/>
        </w:rPr>
        <w:t>PD User</w:t>
      </w:r>
      <w:r w:rsidRPr="0048080E">
        <w:rPr>
          <w:highlight w:val="white"/>
          <w:lang w:val="en-US"/>
        </w:rPr>
        <w:t xml:space="preserve">, </w:t>
      </w:r>
      <w:r w:rsidRPr="0048080E">
        <w:rPr>
          <w:b/>
          <w:bCs/>
          <w:highlight w:val="white"/>
          <w:lang w:val="en-US"/>
        </w:rPr>
        <w:t>HD User</w:t>
      </w:r>
      <w:r w:rsidRPr="0048080E">
        <w:rPr>
          <w:highlight w:val="white"/>
          <w:lang w:val="en-US"/>
        </w:rPr>
        <w:t xml:space="preserve">, or </w:t>
      </w:r>
      <w:r w:rsidRPr="0048080E">
        <w:rPr>
          <w:b/>
          <w:bCs/>
          <w:highlight w:val="white"/>
          <w:lang w:val="en-US"/>
        </w:rPr>
        <w:t>Multiple Switches</w:t>
      </w:r>
      <w:r w:rsidRPr="0048080E">
        <w:rPr>
          <w:highlight w:val="white"/>
          <w:lang w:val="en-US"/>
        </w:rPr>
        <w:t>.</w:t>
      </w:r>
    </w:p>
    <w:p w14:paraId="4C212BD1" w14:textId="71F80F56" w:rsidR="0048080E" w:rsidRPr="0048080E" w:rsidRDefault="0048080E" w:rsidP="0048080E">
      <w:pPr>
        <w:pStyle w:val="ListParagraph"/>
        <w:numPr>
          <w:ilvl w:val="0"/>
          <w:numId w:val="34"/>
        </w:numPr>
        <w:rPr>
          <w:highlight w:val="white"/>
          <w:lang w:val="en-US"/>
        </w:rPr>
      </w:pPr>
      <w:r w:rsidRPr="0048080E">
        <w:rPr>
          <w:highlight w:val="white"/>
          <w:lang w:val="en-US"/>
        </w:rPr>
        <w:t>To streamline the analysis, these categories were collapsed into a simpler format.</w:t>
      </w:r>
    </w:p>
    <w:p w14:paraId="2F9ADD33" w14:textId="7AAB92A7" w:rsidR="0048080E" w:rsidRPr="0048080E" w:rsidRDefault="0048080E" w:rsidP="0048080E">
      <w:pPr>
        <w:pStyle w:val="ListParagraph"/>
        <w:numPr>
          <w:ilvl w:val="0"/>
          <w:numId w:val="34"/>
        </w:numPr>
        <w:rPr>
          <w:highlight w:val="white"/>
          <w:lang w:val="en-US"/>
        </w:rPr>
      </w:pPr>
      <w:r w:rsidRPr="0048080E">
        <w:rPr>
          <w:highlight w:val="white"/>
          <w:lang w:val="en-US"/>
        </w:rPr>
        <w:t>The resulting categorical variable was merged with the patient core data using an inner join, yielding a final sample size of 21,863, consisting of 11,519 individuals from the 2008-2010 cohort and 10,344 individuals from the 2011-2013 cohort.</w:t>
      </w:r>
    </w:p>
    <w:p w14:paraId="6324B30F" w14:textId="773EFB22" w:rsidR="0048080E" w:rsidRPr="0048080E" w:rsidRDefault="0048080E" w:rsidP="0048080E">
      <w:pPr>
        <w:pStyle w:val="ListParagraph"/>
        <w:numPr>
          <w:ilvl w:val="0"/>
          <w:numId w:val="34"/>
        </w:numPr>
        <w:rPr>
          <w:highlight w:val="white"/>
          <w:lang w:val="en-US"/>
        </w:rPr>
      </w:pPr>
      <w:r w:rsidRPr="0048080E">
        <w:rPr>
          <w:highlight w:val="white"/>
          <w:lang w:val="en-US"/>
        </w:rPr>
        <w:t xml:space="preserve">The </w:t>
      </w:r>
      <w:r w:rsidRPr="0048080E">
        <w:rPr>
          <w:b/>
          <w:bCs/>
          <w:highlight w:val="white"/>
          <w:lang w:val="en-US"/>
        </w:rPr>
        <w:t>PD User</w:t>
      </w:r>
      <w:r w:rsidRPr="0048080E">
        <w:rPr>
          <w:highlight w:val="white"/>
          <w:lang w:val="en-US"/>
        </w:rPr>
        <w:t xml:space="preserve"> designation included individuals in the "Peritoneal-only" group, those who switched from HD to PD at least six months prior to the end of their cohort's study period, and individuals who switched from PD to HD within the last six months of their cohort's study period.</w:t>
      </w:r>
    </w:p>
    <w:p w14:paraId="11F635DF" w14:textId="2CEFB31C" w:rsidR="0048080E" w:rsidRPr="0048080E" w:rsidRDefault="0048080E" w:rsidP="0048080E">
      <w:pPr>
        <w:pStyle w:val="ListParagraph"/>
        <w:numPr>
          <w:ilvl w:val="0"/>
          <w:numId w:val="34"/>
        </w:numPr>
        <w:rPr>
          <w:highlight w:val="white"/>
          <w:lang w:val="en-US"/>
        </w:rPr>
      </w:pPr>
      <w:r w:rsidRPr="0048080E">
        <w:rPr>
          <w:highlight w:val="white"/>
          <w:lang w:val="en-US"/>
        </w:rPr>
        <w:t xml:space="preserve">The </w:t>
      </w:r>
      <w:r w:rsidRPr="0048080E">
        <w:rPr>
          <w:b/>
          <w:bCs/>
          <w:highlight w:val="white"/>
          <w:lang w:val="en-US"/>
        </w:rPr>
        <w:t>HD User</w:t>
      </w:r>
      <w:r w:rsidRPr="0048080E">
        <w:rPr>
          <w:highlight w:val="white"/>
          <w:lang w:val="en-US"/>
        </w:rPr>
        <w:t xml:space="preserve"> designation included the inverse categories (as detailed in the diagram below).</w:t>
      </w:r>
    </w:p>
    <w:p w14:paraId="2A1FD3A1" w14:textId="0EAE1EB1" w:rsidR="0048080E" w:rsidRPr="008242E7" w:rsidRDefault="0048080E" w:rsidP="0048080E">
      <w:pPr>
        <w:pStyle w:val="ListParagraph"/>
        <w:numPr>
          <w:ilvl w:val="0"/>
          <w:numId w:val="34"/>
        </w:numPr>
        <w:rPr>
          <w:highlight w:val="white"/>
        </w:rPr>
      </w:pPr>
      <w:r w:rsidRPr="008242E7">
        <w:rPr>
          <w:highlight w:val="white"/>
          <w:lang w:val="en-US"/>
        </w:rPr>
        <w:t xml:space="preserve">The </w:t>
      </w:r>
      <w:r w:rsidRPr="008242E7">
        <w:rPr>
          <w:b/>
          <w:bCs/>
          <w:highlight w:val="white"/>
          <w:lang w:val="en-US"/>
        </w:rPr>
        <w:t>Multiple Switches</w:t>
      </w:r>
      <w:r w:rsidRPr="008242E7">
        <w:rPr>
          <w:highlight w:val="white"/>
          <w:lang w:val="en-US"/>
        </w:rPr>
        <w:t xml:space="preserve"> group was kept separate due to the uncertainty in the relationship between their modality switches and outcomes.</w:t>
      </w:r>
    </w:p>
    <w:p w14:paraId="22951369" w14:textId="77777777" w:rsidR="003720EF" w:rsidRPr="008242E7" w:rsidRDefault="00D76087">
      <w:pPr>
        <w:rPr>
          <w:highlight w:val="white"/>
        </w:rPr>
      </w:pPr>
      <w:r w:rsidRPr="008242E7">
        <w:rPr>
          <w:noProof/>
          <w:highlight w:val="white"/>
        </w:rPr>
        <w:drawing>
          <wp:inline distT="114300" distB="114300" distL="114300" distR="114300" wp14:anchorId="1E49B57F" wp14:editId="0CC4920C">
            <wp:extent cx="4095750" cy="4207576"/>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t="6012"/>
                    <a:stretch>
                      <a:fillRect/>
                    </a:stretch>
                  </pic:blipFill>
                  <pic:spPr>
                    <a:xfrm>
                      <a:off x="0" y="0"/>
                      <a:ext cx="4095750" cy="4207576"/>
                    </a:xfrm>
                    <a:prstGeom prst="rect">
                      <a:avLst/>
                    </a:prstGeom>
                    <a:ln/>
                  </pic:spPr>
                </pic:pic>
              </a:graphicData>
            </a:graphic>
          </wp:inline>
        </w:drawing>
      </w:r>
    </w:p>
    <w:p w14:paraId="4C166801" w14:textId="77777777" w:rsidR="003720EF" w:rsidRPr="008242E7" w:rsidRDefault="00D76087">
      <w:pPr>
        <w:rPr>
          <w:i/>
          <w:highlight w:val="white"/>
        </w:rPr>
      </w:pPr>
      <w:r w:rsidRPr="008242E7">
        <w:rPr>
          <w:i/>
          <w:highlight w:val="white"/>
        </w:rPr>
        <w:t>Potential Covariates</w:t>
      </w:r>
    </w:p>
    <w:p w14:paraId="3FBB5FD8" w14:textId="77777777" w:rsidR="00EF34A0" w:rsidRPr="008242E7" w:rsidRDefault="00D76087" w:rsidP="00EF34A0">
      <w:pPr>
        <w:pStyle w:val="ListParagraph"/>
        <w:numPr>
          <w:ilvl w:val="0"/>
          <w:numId w:val="35"/>
        </w:numPr>
        <w:rPr>
          <w:highlight w:val="white"/>
        </w:rPr>
      </w:pPr>
      <w:r w:rsidRPr="008242E7">
        <w:rPr>
          <w:highlight w:val="white"/>
        </w:rPr>
        <w:t xml:space="preserve">potential covariates: sex; race; age; number of comorbidities; diabetes status; average hemoglobin across available readings, and average hematocrit across available readings. </w:t>
      </w:r>
    </w:p>
    <w:p w14:paraId="12A0C56F" w14:textId="20C1A3F3" w:rsidR="003720EF" w:rsidRPr="008242E7" w:rsidRDefault="00D76087" w:rsidP="00EF34A0">
      <w:pPr>
        <w:pStyle w:val="ListParagraph"/>
        <w:numPr>
          <w:ilvl w:val="0"/>
          <w:numId w:val="35"/>
        </w:numPr>
        <w:rPr>
          <w:highlight w:val="white"/>
        </w:rPr>
      </w:pPr>
      <w:r w:rsidRPr="008242E7">
        <w:rPr>
          <w:highlight w:val="white"/>
        </w:rPr>
        <w:t>The table below shows the method of creation of each variable, along with their source.</w:t>
      </w:r>
    </w:p>
    <w:p w14:paraId="3CC2E959" w14:textId="77777777" w:rsidR="003720EF" w:rsidRPr="008242E7" w:rsidRDefault="003720EF">
      <w:pPr>
        <w:rPr>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720EF" w:rsidRPr="008242E7" w14:paraId="7FCBD19A" w14:textId="77777777">
        <w:tc>
          <w:tcPr>
            <w:tcW w:w="3120" w:type="dxa"/>
            <w:shd w:val="clear" w:color="auto" w:fill="auto"/>
            <w:tcMar>
              <w:top w:w="100" w:type="dxa"/>
              <w:left w:w="100" w:type="dxa"/>
              <w:bottom w:w="100" w:type="dxa"/>
              <w:right w:w="100" w:type="dxa"/>
            </w:tcMar>
          </w:tcPr>
          <w:p w14:paraId="1C7ED3C0"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Variable</w:t>
            </w:r>
          </w:p>
        </w:tc>
        <w:tc>
          <w:tcPr>
            <w:tcW w:w="3120" w:type="dxa"/>
            <w:shd w:val="clear" w:color="auto" w:fill="auto"/>
            <w:tcMar>
              <w:top w:w="100" w:type="dxa"/>
              <w:left w:w="100" w:type="dxa"/>
              <w:bottom w:w="100" w:type="dxa"/>
              <w:right w:w="100" w:type="dxa"/>
            </w:tcMar>
          </w:tcPr>
          <w:p w14:paraId="488E2D1D"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Source</w:t>
            </w:r>
          </w:p>
        </w:tc>
        <w:tc>
          <w:tcPr>
            <w:tcW w:w="3120" w:type="dxa"/>
            <w:shd w:val="clear" w:color="auto" w:fill="auto"/>
            <w:tcMar>
              <w:top w:w="100" w:type="dxa"/>
              <w:left w:w="100" w:type="dxa"/>
              <w:bottom w:w="100" w:type="dxa"/>
              <w:right w:w="100" w:type="dxa"/>
            </w:tcMar>
          </w:tcPr>
          <w:p w14:paraId="11658C80" w14:textId="77777777" w:rsidR="003720EF" w:rsidRPr="008242E7" w:rsidRDefault="00D76087">
            <w:pPr>
              <w:widowControl w:val="0"/>
              <w:pBdr>
                <w:top w:val="nil"/>
                <w:left w:val="nil"/>
                <w:bottom w:val="nil"/>
                <w:right w:val="nil"/>
                <w:between w:val="nil"/>
              </w:pBdr>
              <w:spacing w:line="240" w:lineRule="auto"/>
              <w:rPr>
                <w:b/>
                <w:highlight w:val="white"/>
              </w:rPr>
            </w:pPr>
            <w:r w:rsidRPr="008242E7">
              <w:rPr>
                <w:b/>
                <w:highlight w:val="white"/>
              </w:rPr>
              <w:t>Method</w:t>
            </w:r>
          </w:p>
        </w:tc>
      </w:tr>
      <w:tr w:rsidR="003720EF" w:rsidRPr="008242E7" w14:paraId="63F66879" w14:textId="77777777">
        <w:tc>
          <w:tcPr>
            <w:tcW w:w="3120" w:type="dxa"/>
            <w:shd w:val="clear" w:color="auto" w:fill="auto"/>
            <w:tcMar>
              <w:top w:w="100" w:type="dxa"/>
              <w:left w:w="100" w:type="dxa"/>
              <w:bottom w:w="100" w:type="dxa"/>
              <w:right w:w="100" w:type="dxa"/>
            </w:tcMar>
          </w:tcPr>
          <w:p w14:paraId="49350F9C"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Sex</w:t>
            </w:r>
          </w:p>
        </w:tc>
        <w:tc>
          <w:tcPr>
            <w:tcW w:w="3120" w:type="dxa"/>
            <w:shd w:val="clear" w:color="auto" w:fill="auto"/>
            <w:tcMar>
              <w:top w:w="100" w:type="dxa"/>
              <w:left w:w="100" w:type="dxa"/>
              <w:bottom w:w="100" w:type="dxa"/>
              <w:right w:w="100" w:type="dxa"/>
            </w:tcMar>
          </w:tcPr>
          <w:p w14:paraId="13A4A785"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CKD 5% Patient Core SAF</w:t>
            </w:r>
          </w:p>
        </w:tc>
        <w:tc>
          <w:tcPr>
            <w:tcW w:w="3120" w:type="dxa"/>
            <w:shd w:val="clear" w:color="auto" w:fill="auto"/>
            <w:tcMar>
              <w:top w:w="100" w:type="dxa"/>
              <w:left w:w="100" w:type="dxa"/>
              <w:bottom w:w="100" w:type="dxa"/>
              <w:right w:w="100" w:type="dxa"/>
            </w:tcMar>
          </w:tcPr>
          <w:p w14:paraId="2EBB569C"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 xml:space="preserve">Format and label variable; no other changes needed </w:t>
            </w:r>
          </w:p>
        </w:tc>
      </w:tr>
      <w:tr w:rsidR="003720EF" w:rsidRPr="008242E7" w14:paraId="76783D8D" w14:textId="77777777">
        <w:tc>
          <w:tcPr>
            <w:tcW w:w="3120" w:type="dxa"/>
            <w:shd w:val="clear" w:color="auto" w:fill="auto"/>
            <w:tcMar>
              <w:top w:w="100" w:type="dxa"/>
              <w:left w:w="100" w:type="dxa"/>
              <w:bottom w:w="100" w:type="dxa"/>
              <w:right w:w="100" w:type="dxa"/>
            </w:tcMar>
          </w:tcPr>
          <w:p w14:paraId="7F12E6E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Race</w:t>
            </w:r>
          </w:p>
        </w:tc>
        <w:tc>
          <w:tcPr>
            <w:tcW w:w="3120" w:type="dxa"/>
            <w:shd w:val="clear" w:color="auto" w:fill="auto"/>
            <w:tcMar>
              <w:top w:w="100" w:type="dxa"/>
              <w:left w:w="100" w:type="dxa"/>
              <w:bottom w:w="100" w:type="dxa"/>
              <w:right w:w="100" w:type="dxa"/>
            </w:tcMar>
          </w:tcPr>
          <w:p w14:paraId="13325E21"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CKD 5% Patient Core SAF</w:t>
            </w:r>
          </w:p>
        </w:tc>
        <w:tc>
          <w:tcPr>
            <w:tcW w:w="3120" w:type="dxa"/>
            <w:shd w:val="clear" w:color="auto" w:fill="auto"/>
            <w:tcMar>
              <w:top w:w="100" w:type="dxa"/>
              <w:left w:w="100" w:type="dxa"/>
              <w:bottom w:w="100" w:type="dxa"/>
              <w:right w:w="100" w:type="dxa"/>
            </w:tcMar>
          </w:tcPr>
          <w:p w14:paraId="0E51E2D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 xml:space="preserve">Format and label variable; no other changes needed </w:t>
            </w:r>
          </w:p>
        </w:tc>
      </w:tr>
      <w:tr w:rsidR="003720EF" w:rsidRPr="008242E7" w14:paraId="5D4D8ABE" w14:textId="77777777">
        <w:tc>
          <w:tcPr>
            <w:tcW w:w="3120" w:type="dxa"/>
            <w:shd w:val="clear" w:color="auto" w:fill="auto"/>
            <w:tcMar>
              <w:top w:w="100" w:type="dxa"/>
              <w:left w:w="100" w:type="dxa"/>
              <w:bottom w:w="100" w:type="dxa"/>
              <w:right w:w="100" w:type="dxa"/>
            </w:tcMar>
          </w:tcPr>
          <w:p w14:paraId="7DDE3631"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Age at ESRD onset</w:t>
            </w:r>
          </w:p>
        </w:tc>
        <w:tc>
          <w:tcPr>
            <w:tcW w:w="3120" w:type="dxa"/>
            <w:shd w:val="clear" w:color="auto" w:fill="auto"/>
            <w:tcMar>
              <w:top w:w="100" w:type="dxa"/>
              <w:left w:w="100" w:type="dxa"/>
              <w:bottom w:w="100" w:type="dxa"/>
              <w:right w:w="100" w:type="dxa"/>
            </w:tcMar>
          </w:tcPr>
          <w:p w14:paraId="50D1EC43"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CKD 5% Patient Core SAF</w:t>
            </w:r>
          </w:p>
        </w:tc>
        <w:tc>
          <w:tcPr>
            <w:tcW w:w="3120" w:type="dxa"/>
            <w:shd w:val="clear" w:color="auto" w:fill="auto"/>
            <w:tcMar>
              <w:top w:w="100" w:type="dxa"/>
              <w:left w:w="100" w:type="dxa"/>
              <w:bottom w:w="100" w:type="dxa"/>
              <w:right w:w="100" w:type="dxa"/>
            </w:tcMar>
          </w:tcPr>
          <w:p w14:paraId="2061A6ED"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Find years between month and year of birth and ESRD onset date. Format and label variable.</w:t>
            </w:r>
          </w:p>
        </w:tc>
      </w:tr>
      <w:tr w:rsidR="003720EF" w:rsidRPr="008242E7" w14:paraId="0A96A42D" w14:textId="77777777">
        <w:tc>
          <w:tcPr>
            <w:tcW w:w="3120" w:type="dxa"/>
            <w:shd w:val="clear" w:color="auto" w:fill="auto"/>
            <w:tcMar>
              <w:top w:w="100" w:type="dxa"/>
              <w:left w:w="100" w:type="dxa"/>
              <w:bottom w:w="100" w:type="dxa"/>
              <w:right w:w="100" w:type="dxa"/>
            </w:tcMar>
          </w:tcPr>
          <w:p w14:paraId="02D0812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Number of comorbidities</w:t>
            </w:r>
          </w:p>
        </w:tc>
        <w:tc>
          <w:tcPr>
            <w:tcW w:w="3120" w:type="dxa"/>
            <w:shd w:val="clear" w:color="auto" w:fill="auto"/>
            <w:tcMar>
              <w:top w:w="100" w:type="dxa"/>
              <w:left w:w="100" w:type="dxa"/>
              <w:bottom w:w="100" w:type="dxa"/>
              <w:right w:w="100" w:type="dxa"/>
            </w:tcMar>
          </w:tcPr>
          <w:p w14:paraId="13F77EC0"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CKD 5% Core Morbidities SAFs from 2008-2013 (count of number of distinct comorbidities per 5PID)</w:t>
            </w:r>
          </w:p>
        </w:tc>
        <w:tc>
          <w:tcPr>
            <w:tcW w:w="3120" w:type="dxa"/>
            <w:shd w:val="clear" w:color="auto" w:fill="auto"/>
            <w:tcMar>
              <w:top w:w="100" w:type="dxa"/>
              <w:left w:w="100" w:type="dxa"/>
              <w:bottom w:w="100" w:type="dxa"/>
              <w:right w:w="100" w:type="dxa"/>
            </w:tcMar>
          </w:tcPr>
          <w:p w14:paraId="18C64D7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See description of process in the Cohort Creation section above. Format and label variable.</w:t>
            </w:r>
          </w:p>
        </w:tc>
      </w:tr>
      <w:tr w:rsidR="003720EF" w:rsidRPr="008242E7" w14:paraId="45870435" w14:textId="77777777">
        <w:tc>
          <w:tcPr>
            <w:tcW w:w="3120" w:type="dxa"/>
            <w:shd w:val="clear" w:color="auto" w:fill="auto"/>
            <w:tcMar>
              <w:top w:w="100" w:type="dxa"/>
              <w:left w:w="100" w:type="dxa"/>
              <w:bottom w:w="100" w:type="dxa"/>
              <w:right w:w="100" w:type="dxa"/>
            </w:tcMar>
          </w:tcPr>
          <w:p w14:paraId="502512E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Diabetes</w:t>
            </w:r>
          </w:p>
        </w:tc>
        <w:tc>
          <w:tcPr>
            <w:tcW w:w="3120" w:type="dxa"/>
            <w:shd w:val="clear" w:color="auto" w:fill="auto"/>
            <w:tcMar>
              <w:top w:w="100" w:type="dxa"/>
              <w:left w:w="100" w:type="dxa"/>
              <w:bottom w:w="100" w:type="dxa"/>
              <w:right w:w="100" w:type="dxa"/>
            </w:tcMar>
          </w:tcPr>
          <w:p w14:paraId="39544AB1"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CKD 5% Core Morbidities SAFs from 2008-2013 (individual had a code that matched an ICD-9 code for diabetes, Type I or Type II)</w:t>
            </w:r>
          </w:p>
        </w:tc>
        <w:tc>
          <w:tcPr>
            <w:tcW w:w="3120" w:type="dxa"/>
            <w:shd w:val="clear" w:color="auto" w:fill="auto"/>
            <w:tcMar>
              <w:top w:w="100" w:type="dxa"/>
              <w:left w:w="100" w:type="dxa"/>
              <w:bottom w:w="100" w:type="dxa"/>
              <w:right w:w="100" w:type="dxa"/>
            </w:tcMar>
          </w:tcPr>
          <w:p w14:paraId="71C2496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See description of process in the Cohort Creation section above. Format and label variable.</w:t>
            </w:r>
          </w:p>
        </w:tc>
      </w:tr>
      <w:tr w:rsidR="003720EF" w:rsidRPr="008242E7" w14:paraId="61494A75" w14:textId="77777777">
        <w:tc>
          <w:tcPr>
            <w:tcW w:w="3120" w:type="dxa"/>
            <w:shd w:val="clear" w:color="auto" w:fill="auto"/>
            <w:tcMar>
              <w:top w:w="100" w:type="dxa"/>
              <w:left w:w="100" w:type="dxa"/>
              <w:bottom w:w="100" w:type="dxa"/>
              <w:right w:w="100" w:type="dxa"/>
            </w:tcMar>
          </w:tcPr>
          <w:p w14:paraId="67B92E9B"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Average Hemoglobin</w:t>
            </w:r>
          </w:p>
        </w:tc>
        <w:tc>
          <w:tcPr>
            <w:tcW w:w="3120" w:type="dxa"/>
            <w:shd w:val="clear" w:color="auto" w:fill="auto"/>
            <w:tcMar>
              <w:top w:w="100" w:type="dxa"/>
              <w:left w:w="100" w:type="dxa"/>
              <w:bottom w:w="100" w:type="dxa"/>
              <w:right w:w="100" w:type="dxa"/>
            </w:tcMar>
          </w:tcPr>
          <w:p w14:paraId="463DE9D8"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Institutional Claims ESRD files (average of as many readings as were available for a given individual)</w:t>
            </w:r>
          </w:p>
        </w:tc>
        <w:tc>
          <w:tcPr>
            <w:tcW w:w="3120" w:type="dxa"/>
            <w:shd w:val="clear" w:color="auto" w:fill="auto"/>
            <w:tcMar>
              <w:top w:w="100" w:type="dxa"/>
              <w:left w:w="100" w:type="dxa"/>
              <w:bottom w:w="100" w:type="dxa"/>
              <w:right w:w="100" w:type="dxa"/>
            </w:tcMar>
          </w:tcPr>
          <w:p w14:paraId="5040CEC5"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Take average of available hemoglobin readings by individual in institutional claims SAFs and left join patient core set with the result. Format and label variable.</w:t>
            </w:r>
          </w:p>
        </w:tc>
      </w:tr>
      <w:tr w:rsidR="003720EF" w:rsidRPr="008242E7" w14:paraId="6922274A" w14:textId="77777777">
        <w:tc>
          <w:tcPr>
            <w:tcW w:w="3120" w:type="dxa"/>
            <w:shd w:val="clear" w:color="auto" w:fill="auto"/>
            <w:tcMar>
              <w:top w:w="100" w:type="dxa"/>
              <w:left w:w="100" w:type="dxa"/>
              <w:bottom w:w="100" w:type="dxa"/>
              <w:right w:w="100" w:type="dxa"/>
            </w:tcMar>
          </w:tcPr>
          <w:p w14:paraId="53BA641D"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Average Hematocrit</w:t>
            </w:r>
          </w:p>
        </w:tc>
        <w:tc>
          <w:tcPr>
            <w:tcW w:w="3120" w:type="dxa"/>
            <w:shd w:val="clear" w:color="auto" w:fill="auto"/>
            <w:tcMar>
              <w:top w:w="100" w:type="dxa"/>
              <w:left w:w="100" w:type="dxa"/>
              <w:bottom w:w="100" w:type="dxa"/>
              <w:right w:w="100" w:type="dxa"/>
            </w:tcMar>
          </w:tcPr>
          <w:p w14:paraId="309F7ECF"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Institutional Claims ESRD files (average of as many readings as were available for a given individual)</w:t>
            </w:r>
          </w:p>
        </w:tc>
        <w:tc>
          <w:tcPr>
            <w:tcW w:w="3120" w:type="dxa"/>
            <w:shd w:val="clear" w:color="auto" w:fill="auto"/>
            <w:tcMar>
              <w:top w:w="100" w:type="dxa"/>
              <w:left w:w="100" w:type="dxa"/>
              <w:bottom w:w="100" w:type="dxa"/>
              <w:right w:w="100" w:type="dxa"/>
            </w:tcMar>
          </w:tcPr>
          <w:p w14:paraId="71D08F9B" w14:textId="77777777" w:rsidR="003720EF" w:rsidRPr="008242E7" w:rsidRDefault="00D76087">
            <w:pPr>
              <w:widowControl w:val="0"/>
              <w:pBdr>
                <w:top w:val="nil"/>
                <w:left w:val="nil"/>
                <w:bottom w:val="nil"/>
                <w:right w:val="nil"/>
                <w:between w:val="nil"/>
              </w:pBdr>
              <w:spacing w:line="240" w:lineRule="auto"/>
              <w:rPr>
                <w:highlight w:val="white"/>
              </w:rPr>
            </w:pPr>
            <w:r w:rsidRPr="008242E7">
              <w:rPr>
                <w:highlight w:val="white"/>
              </w:rPr>
              <w:t>Take average of available hematocrit readings by individual in institutional claims SAFs and left join patient core set with the result. Format and label variable.</w:t>
            </w:r>
          </w:p>
        </w:tc>
      </w:tr>
    </w:tbl>
    <w:p w14:paraId="5E4A36FF" w14:textId="77777777" w:rsidR="003720EF" w:rsidRPr="008242E7" w:rsidRDefault="003720EF">
      <w:pPr>
        <w:rPr>
          <w:highlight w:val="white"/>
        </w:rPr>
      </w:pPr>
    </w:p>
    <w:p w14:paraId="0E79A0F0" w14:textId="495CA2A3" w:rsidR="00CD66EE" w:rsidRPr="008242E7" w:rsidRDefault="00CD66EE" w:rsidP="00CD66EE">
      <w:pPr>
        <w:rPr>
          <w:highlight w:val="white"/>
          <w:lang w:val="en-US"/>
        </w:rPr>
      </w:pPr>
      <w:r w:rsidRPr="008242E7">
        <w:rPr>
          <w:highlight w:val="white"/>
          <w:lang w:val="en-US"/>
        </w:rPr>
        <w:t>Some information may catch your attention:</w:t>
      </w:r>
    </w:p>
    <w:p w14:paraId="5A791344" w14:textId="77777777" w:rsidR="00CD66EE" w:rsidRPr="008242E7" w:rsidRDefault="00CD66EE" w:rsidP="00CD66EE">
      <w:pPr>
        <w:rPr>
          <w:highlight w:val="white"/>
          <w:lang w:val="en-US"/>
        </w:rPr>
      </w:pPr>
    </w:p>
    <w:p w14:paraId="50CD97B8" w14:textId="19D11565" w:rsidR="00CD66EE" w:rsidRPr="00CD66EE" w:rsidRDefault="00CD66EE" w:rsidP="00CD66EE">
      <w:pPr>
        <w:rPr>
          <w:highlight w:val="white"/>
          <w:lang w:val="en-US"/>
        </w:rPr>
      </w:pPr>
      <w:r w:rsidRPr="008242E7">
        <w:rPr>
          <w:highlight w:val="white"/>
          <w:lang w:val="en-US"/>
        </w:rPr>
        <w:t>-</w:t>
      </w:r>
      <w:r w:rsidRPr="00CD66EE">
        <w:rPr>
          <w:highlight w:val="white"/>
          <w:lang w:val="en-US"/>
        </w:rPr>
        <w:t>The selection of potential covariates was guided by literature indicating that these factors may significantly influence both mortality rates and the choice of dialysis modality.</w:t>
      </w:r>
    </w:p>
    <w:p w14:paraId="7A4242BC" w14:textId="052E846F" w:rsidR="00CD66EE" w:rsidRPr="008242E7" w:rsidRDefault="00CD66EE" w:rsidP="00CD66EE">
      <w:pPr>
        <w:rPr>
          <w:highlight w:val="white"/>
          <w:lang w:val="en-US"/>
        </w:rPr>
      </w:pPr>
      <w:r w:rsidRPr="008242E7">
        <w:rPr>
          <w:highlight w:val="white"/>
          <w:lang w:val="en-US"/>
        </w:rPr>
        <w:t>-</w:t>
      </w:r>
      <w:r w:rsidRPr="00CD66EE">
        <w:rPr>
          <w:highlight w:val="white"/>
          <w:lang w:val="en-US"/>
        </w:rPr>
        <w:t>Diabetes status, age, and comorbidities have consistently been identified in studies as key factors that modify the effect of dialysis modality on patient outcomes.</w:t>
      </w:r>
    </w:p>
    <w:p w14:paraId="536C3164" w14:textId="340F1349" w:rsidR="00CD66EE" w:rsidRPr="00CD66EE" w:rsidRDefault="00CD66EE" w:rsidP="00CD66EE">
      <w:pPr>
        <w:rPr>
          <w:highlight w:val="white"/>
          <w:lang w:val="en-US"/>
        </w:rPr>
      </w:pPr>
      <w:r w:rsidRPr="008242E7">
        <w:rPr>
          <w:highlight w:val="white"/>
          <w:lang w:val="en-US"/>
        </w:rPr>
        <w:t>-</w:t>
      </w:r>
      <w:r w:rsidRPr="00CD66EE">
        <w:rPr>
          <w:highlight w:val="white"/>
          <w:lang w:val="en-US"/>
        </w:rPr>
        <w:t xml:space="preserve">Hemoglobin and hematocrit are both key indicators of iron levels in the body and are commonly low in patients with end-stage renal disease (ESRD), who frequently suffer </w:t>
      </w:r>
      <w:r w:rsidRPr="008242E7">
        <w:rPr>
          <w:highlight w:val="white"/>
          <w:lang w:val="en-US"/>
        </w:rPr>
        <w:t>-</w:t>
      </w:r>
      <w:r w:rsidRPr="00CD66EE">
        <w:rPr>
          <w:highlight w:val="white"/>
          <w:lang w:val="en-US"/>
        </w:rPr>
        <w:t>from anemia.</w:t>
      </w:r>
      <w:r w:rsidRPr="008242E7">
        <w:rPr>
          <w:highlight w:val="white"/>
          <w:lang w:val="en-US"/>
        </w:rPr>
        <w:t xml:space="preserve"> </w:t>
      </w:r>
      <w:r w:rsidRPr="00CD66EE">
        <w:rPr>
          <w:highlight w:val="white"/>
          <w:lang w:val="en-US"/>
        </w:rPr>
        <w:t>Anemia in individuals with renal failure is primarily due to a deficiency in endogenous erythropoietin, a hormone essential for red blood cell production. This condition is associated with complications such as left ventricular hypertrophy.</w:t>
      </w:r>
    </w:p>
    <w:p w14:paraId="78AFBDC3" w14:textId="41639B54" w:rsidR="00CD66EE" w:rsidRPr="00CD66EE" w:rsidRDefault="00CD66EE" w:rsidP="00CD66EE">
      <w:pPr>
        <w:rPr>
          <w:highlight w:val="white"/>
          <w:lang w:val="en-US"/>
        </w:rPr>
      </w:pPr>
      <w:r w:rsidRPr="008242E7">
        <w:rPr>
          <w:highlight w:val="white"/>
          <w:lang w:val="en-US"/>
        </w:rPr>
        <w:t>-</w:t>
      </w:r>
      <w:r w:rsidRPr="00CD66EE">
        <w:rPr>
          <w:highlight w:val="white"/>
          <w:lang w:val="en-US"/>
        </w:rPr>
        <w:t>Renal failure-related anemia also increases the risk of cardiovascular morbidity and mortality.</w:t>
      </w:r>
    </w:p>
    <w:p w14:paraId="090FEC63" w14:textId="254ACE1E" w:rsidR="00CD66EE" w:rsidRPr="00CD66EE" w:rsidRDefault="00CD66EE" w:rsidP="00CD66EE">
      <w:pPr>
        <w:rPr>
          <w:highlight w:val="white"/>
          <w:lang w:val="en-US"/>
        </w:rPr>
      </w:pPr>
      <w:r w:rsidRPr="008242E7">
        <w:rPr>
          <w:highlight w:val="white"/>
          <w:lang w:val="en-US"/>
        </w:rPr>
        <w:t>-</w:t>
      </w:r>
      <w:r w:rsidRPr="00CD66EE">
        <w:rPr>
          <w:highlight w:val="white"/>
          <w:lang w:val="en-US"/>
        </w:rPr>
        <w:t>In ESRD patients, lower hemoglobin levels have been linked to higher mortality rates.</w:t>
      </w:r>
    </w:p>
    <w:p w14:paraId="42EC3FE5" w14:textId="41D21E41" w:rsidR="00CD66EE" w:rsidRPr="00CD66EE" w:rsidRDefault="00CD66EE" w:rsidP="00CD66EE">
      <w:pPr>
        <w:rPr>
          <w:highlight w:val="white"/>
          <w:lang w:val="en-US"/>
        </w:rPr>
      </w:pPr>
      <w:r w:rsidRPr="008242E7">
        <w:rPr>
          <w:highlight w:val="white"/>
          <w:lang w:val="en-US"/>
        </w:rPr>
        <w:t>-</w:t>
      </w:r>
      <w:r w:rsidRPr="00CD66EE">
        <w:rPr>
          <w:highlight w:val="white"/>
          <w:lang w:val="en-US"/>
        </w:rPr>
        <w:t>Normal hemoglobin levels are generally considered to be above 12 g/dL for women and 13 g/dL for men.</w:t>
      </w:r>
    </w:p>
    <w:p w14:paraId="7C5C1B4A" w14:textId="34DF76C9" w:rsidR="00CD66EE" w:rsidRPr="00CD66EE" w:rsidRDefault="00CD66EE" w:rsidP="00CD66EE">
      <w:pPr>
        <w:rPr>
          <w:highlight w:val="white"/>
          <w:lang w:val="en-US"/>
        </w:rPr>
      </w:pPr>
      <w:r w:rsidRPr="008242E7">
        <w:rPr>
          <w:highlight w:val="white"/>
          <w:lang w:val="en-US"/>
        </w:rPr>
        <w:t>-</w:t>
      </w:r>
      <w:r w:rsidRPr="00CD66EE">
        <w:rPr>
          <w:highlight w:val="white"/>
          <w:lang w:val="en-US"/>
        </w:rPr>
        <w:t>For ESRD patients, the National Kidney Foundation recommends a target hemoglobin level between 11 and 12 g/dL.</w:t>
      </w:r>
    </w:p>
    <w:p w14:paraId="1D4BE8F8" w14:textId="459E9E91" w:rsidR="00CD66EE" w:rsidRPr="00CD66EE" w:rsidRDefault="00CD66EE" w:rsidP="00CD66EE">
      <w:pPr>
        <w:rPr>
          <w:highlight w:val="white"/>
          <w:lang w:val="en-US"/>
        </w:rPr>
      </w:pPr>
      <w:r w:rsidRPr="008242E7">
        <w:rPr>
          <w:highlight w:val="white"/>
          <w:lang w:val="en-US"/>
        </w:rPr>
        <w:t>-</w:t>
      </w:r>
      <w:r w:rsidRPr="00CD66EE">
        <w:rPr>
          <w:highlight w:val="white"/>
          <w:lang w:val="en-US"/>
        </w:rPr>
        <w:t>Previous studies have found that hematocrit values between 30% and 36% are associated with a lower risk of mortality.</w:t>
      </w:r>
    </w:p>
    <w:p w14:paraId="04353190" w14:textId="713602FB" w:rsidR="00CD66EE" w:rsidRPr="00CD66EE" w:rsidRDefault="00CD66EE" w:rsidP="00CD66EE">
      <w:pPr>
        <w:rPr>
          <w:highlight w:val="white"/>
          <w:lang w:val="en-US"/>
        </w:rPr>
      </w:pPr>
      <w:r w:rsidRPr="008242E7">
        <w:rPr>
          <w:highlight w:val="white"/>
          <w:lang w:val="en-US"/>
        </w:rPr>
        <w:t>-</w:t>
      </w:r>
      <w:r w:rsidRPr="00CD66EE">
        <w:rPr>
          <w:highlight w:val="white"/>
          <w:lang w:val="en-US"/>
        </w:rPr>
        <w:t>Hematocrit measures the proportion of red blood cells in relation to the total blood cell count.</w:t>
      </w:r>
    </w:p>
    <w:p w14:paraId="7823EB5B" w14:textId="77777777" w:rsidR="00CD66EE" w:rsidRPr="008242E7" w:rsidRDefault="00CD66EE">
      <w:pPr>
        <w:rPr>
          <w:highlight w:val="white"/>
        </w:rPr>
      </w:pPr>
    </w:p>
    <w:p w14:paraId="4F58C95C" w14:textId="42920DB0" w:rsidR="00E7637D" w:rsidRPr="008242E7" w:rsidRDefault="00E7637D">
      <w:pPr>
        <w:rPr>
          <w:highlight w:val="white"/>
        </w:rPr>
      </w:pPr>
      <w:r w:rsidRPr="008242E7">
        <w:rPr>
          <w:highlight w:val="white"/>
        </w:rPr>
        <w:t>Note:  You can check the finding below if you work on the bonus/extra credit using survival analysis.</w:t>
      </w:r>
    </w:p>
    <w:p w14:paraId="6C344588" w14:textId="082D1A96" w:rsidR="003720EF" w:rsidRPr="008242E7" w:rsidRDefault="00CD66EE">
      <w:pPr>
        <w:rPr>
          <w:highlight w:val="white"/>
        </w:rPr>
      </w:pPr>
      <w:r w:rsidRPr="008242E7">
        <w:rPr>
          <w:highlight w:val="white"/>
        </w:rPr>
        <w:t>Paradoxically, despite generally worse health outcomes for Black individuals across various health metrics, studies have shown that Black individuals undergoing dialysis tend to have longer survival rates compared to White individuals. This finding was confirmed in an observational study of 1,330,007 incident cases of ESRD using USRDS data collected between January 1, 1995, and September 28, 2009.</w:t>
      </w:r>
    </w:p>
    <w:p w14:paraId="4D459EA3" w14:textId="77777777" w:rsidR="00CD66EE" w:rsidRPr="008242E7" w:rsidRDefault="00CD66EE">
      <w:pPr>
        <w:rPr>
          <w:highlight w:val="white"/>
        </w:rPr>
      </w:pPr>
    </w:p>
    <w:p w14:paraId="2C5C6A98" w14:textId="77777777" w:rsidR="003720EF" w:rsidRPr="008242E7" w:rsidRDefault="00D76087">
      <w:pPr>
        <w:rPr>
          <w:b/>
          <w:bCs/>
          <w:i/>
          <w:highlight w:val="white"/>
        </w:rPr>
      </w:pPr>
      <w:r w:rsidRPr="008242E7">
        <w:rPr>
          <w:b/>
          <w:bCs/>
          <w:i/>
          <w:highlight w:val="white"/>
        </w:rPr>
        <w:t>Outcome Variables</w:t>
      </w:r>
    </w:p>
    <w:p w14:paraId="4501EE46" w14:textId="343436D0" w:rsidR="00CD66EE" w:rsidRPr="00CD66EE" w:rsidRDefault="00CD66EE" w:rsidP="00CD66EE">
      <w:pPr>
        <w:rPr>
          <w:highlight w:val="white"/>
          <w:lang w:val="en-US"/>
        </w:rPr>
      </w:pPr>
      <w:r w:rsidRPr="00CD66EE">
        <w:rPr>
          <w:b/>
          <w:bCs/>
          <w:highlight w:val="white"/>
          <w:lang w:val="en-US"/>
        </w:rPr>
        <w:t>Primary Outcome: Mortality (Yes/No)</w:t>
      </w:r>
      <w:r w:rsidRPr="00CD66EE">
        <w:rPr>
          <w:highlight w:val="white"/>
          <w:lang w:val="en-US"/>
        </w:rPr>
        <w:br/>
        <w:t xml:space="preserve">The primary outcome, death (yes/no), </w:t>
      </w:r>
      <w:r w:rsidR="008242E7" w:rsidRPr="008242E7">
        <w:rPr>
          <w:highlight w:val="white"/>
          <w:lang w:val="en-US"/>
        </w:rPr>
        <w:t xml:space="preserve">is </w:t>
      </w:r>
      <w:r w:rsidRPr="00CD66EE">
        <w:rPr>
          <w:highlight w:val="white"/>
          <w:lang w:val="en-US"/>
        </w:rPr>
        <w:t>defin</w:t>
      </w:r>
      <w:r w:rsidR="008242E7" w:rsidRPr="008242E7">
        <w:rPr>
          <w:highlight w:val="white"/>
          <w:lang w:val="en-US"/>
        </w:rPr>
        <w:t>ed</w:t>
      </w:r>
      <w:r w:rsidRPr="00CD66EE">
        <w:rPr>
          <w:highlight w:val="white"/>
          <w:lang w:val="en-US"/>
        </w:rPr>
        <w:t xml:space="preserve"> an indicator variable where patients with a recorded date of death </w:t>
      </w:r>
      <w:r w:rsidR="008242E7" w:rsidRPr="008242E7">
        <w:rPr>
          <w:highlight w:val="white"/>
          <w:lang w:val="en-US"/>
        </w:rPr>
        <w:t>be</w:t>
      </w:r>
      <w:r w:rsidRPr="00CD66EE">
        <w:rPr>
          <w:highlight w:val="white"/>
          <w:lang w:val="en-US"/>
        </w:rPr>
        <w:t xml:space="preserve"> assigned a value of "1" and those without a recorded death date </w:t>
      </w:r>
      <w:r w:rsidR="008242E7" w:rsidRPr="008242E7">
        <w:rPr>
          <w:highlight w:val="white"/>
          <w:lang w:val="en-US"/>
        </w:rPr>
        <w:t>are</w:t>
      </w:r>
      <w:r w:rsidRPr="00CD66EE">
        <w:rPr>
          <w:highlight w:val="white"/>
          <w:lang w:val="en-US"/>
        </w:rPr>
        <w:t xml:space="preserve"> assigned a value of "0." This process </w:t>
      </w:r>
      <w:r w:rsidR="008242E7" w:rsidRPr="008242E7">
        <w:rPr>
          <w:highlight w:val="white"/>
          <w:lang w:val="en-US"/>
        </w:rPr>
        <w:t>should be</w:t>
      </w:r>
      <w:r w:rsidRPr="00CD66EE">
        <w:rPr>
          <w:highlight w:val="white"/>
          <w:lang w:val="en-US"/>
        </w:rPr>
        <w:t xml:space="preserve"> conducted after excluding death dates for individuals in the 2008-2010 cohort who died after their respective cohort end date.</w:t>
      </w:r>
    </w:p>
    <w:p w14:paraId="761EC313" w14:textId="77777777" w:rsidR="00CD66EE" w:rsidRPr="00CD66EE" w:rsidRDefault="00CD66EE" w:rsidP="00CD66EE">
      <w:pPr>
        <w:rPr>
          <w:highlight w:val="white"/>
          <w:lang w:val="en-US"/>
        </w:rPr>
      </w:pPr>
      <w:r w:rsidRPr="00CD66EE">
        <w:rPr>
          <w:b/>
          <w:bCs/>
          <w:highlight w:val="white"/>
          <w:lang w:val="en-US"/>
        </w:rPr>
        <w:t>Follow-up Time (for Bonus/Extra Credit):</w:t>
      </w:r>
      <w:r w:rsidRPr="00CD66EE">
        <w:rPr>
          <w:highlight w:val="white"/>
          <w:lang w:val="en-US"/>
        </w:rPr>
        <w:br/>
        <w:t xml:space="preserve">If you decide to work on the bonus/extra credit, the follow-up time for </w:t>
      </w:r>
      <w:proofErr w:type="gramStart"/>
      <w:r w:rsidRPr="00CD66EE">
        <w:rPr>
          <w:highlight w:val="white"/>
          <w:lang w:val="en-US"/>
        </w:rPr>
        <w:t>each individual</w:t>
      </w:r>
      <w:proofErr w:type="gramEnd"/>
      <w:r w:rsidRPr="00CD66EE">
        <w:rPr>
          <w:highlight w:val="white"/>
          <w:lang w:val="en-US"/>
        </w:rPr>
        <w:t xml:space="preserve"> was calculated as follows:</w:t>
      </w:r>
    </w:p>
    <w:p w14:paraId="152EB354" w14:textId="4FE461CB" w:rsidR="00CD66EE" w:rsidRPr="00CD66EE" w:rsidRDefault="00CD66EE" w:rsidP="00CD66EE">
      <w:pPr>
        <w:numPr>
          <w:ilvl w:val="0"/>
          <w:numId w:val="47"/>
        </w:numPr>
        <w:rPr>
          <w:highlight w:val="white"/>
          <w:lang w:val="en-US"/>
        </w:rPr>
      </w:pPr>
      <w:r w:rsidRPr="00CD66EE">
        <w:rPr>
          <w:b/>
          <w:bCs/>
          <w:highlight w:val="white"/>
          <w:lang w:val="en-US"/>
        </w:rPr>
        <w:t>For individuals who did not die and whose last available claim date occurred within six months of their cohort end date</w:t>
      </w:r>
      <w:r w:rsidRPr="00CD66EE">
        <w:rPr>
          <w:highlight w:val="white"/>
          <w:lang w:val="en-US"/>
        </w:rPr>
        <w:t xml:space="preserve"> (December 31, 2010, for the 2008-2010 cohort and December 31, 2013, for the 2011-2013 cohort), follow-up time </w:t>
      </w:r>
      <w:r w:rsidR="008242E7" w:rsidRPr="008242E7">
        <w:rPr>
          <w:highlight w:val="white"/>
          <w:lang w:val="en-US"/>
        </w:rPr>
        <w:t xml:space="preserve">is </w:t>
      </w:r>
      <w:r w:rsidRPr="00CD66EE">
        <w:rPr>
          <w:highlight w:val="white"/>
          <w:lang w:val="en-US"/>
        </w:rPr>
        <w:t>calculated as the duration from their ESRD onset date to the cohort end date.</w:t>
      </w:r>
    </w:p>
    <w:p w14:paraId="3BA26812" w14:textId="1A8F0DD0" w:rsidR="00CD66EE" w:rsidRPr="00CD66EE" w:rsidRDefault="00CD66EE" w:rsidP="00CD66EE">
      <w:pPr>
        <w:numPr>
          <w:ilvl w:val="0"/>
          <w:numId w:val="47"/>
        </w:numPr>
        <w:rPr>
          <w:highlight w:val="white"/>
          <w:lang w:val="en-US"/>
        </w:rPr>
      </w:pPr>
      <w:r w:rsidRPr="00CD66EE">
        <w:rPr>
          <w:b/>
          <w:bCs/>
          <w:highlight w:val="white"/>
          <w:lang w:val="en-US"/>
        </w:rPr>
        <w:t>For individuals who did not die and whose last available claim date was before the final six months of their cohort end date</w:t>
      </w:r>
      <w:r w:rsidRPr="00CD66EE">
        <w:rPr>
          <w:highlight w:val="white"/>
          <w:lang w:val="en-US"/>
        </w:rPr>
        <w:t xml:space="preserve">, follow-up time </w:t>
      </w:r>
      <w:r w:rsidR="008242E7" w:rsidRPr="008242E7">
        <w:rPr>
          <w:highlight w:val="white"/>
          <w:lang w:val="en-US"/>
        </w:rPr>
        <w:t xml:space="preserve">is </w:t>
      </w:r>
      <w:r w:rsidRPr="00CD66EE">
        <w:rPr>
          <w:highlight w:val="white"/>
          <w:lang w:val="en-US"/>
        </w:rPr>
        <w:t>calculated as the number of days between their last available claim date and their ESRD onset date.</w:t>
      </w:r>
    </w:p>
    <w:p w14:paraId="607F4A1C" w14:textId="5627F357" w:rsidR="00CD66EE" w:rsidRPr="00CD66EE" w:rsidRDefault="00CD66EE" w:rsidP="00CD66EE">
      <w:pPr>
        <w:numPr>
          <w:ilvl w:val="0"/>
          <w:numId w:val="47"/>
        </w:numPr>
        <w:rPr>
          <w:highlight w:val="white"/>
          <w:lang w:val="en-US"/>
        </w:rPr>
      </w:pPr>
      <w:r w:rsidRPr="00CD66EE">
        <w:rPr>
          <w:b/>
          <w:bCs/>
          <w:highlight w:val="white"/>
          <w:lang w:val="en-US"/>
        </w:rPr>
        <w:t>For individuals who died</w:t>
      </w:r>
      <w:r w:rsidRPr="00CD66EE">
        <w:rPr>
          <w:highlight w:val="white"/>
          <w:lang w:val="en-US"/>
        </w:rPr>
        <w:t xml:space="preserve">, follow-up time </w:t>
      </w:r>
      <w:r w:rsidR="008242E7" w:rsidRPr="008242E7">
        <w:rPr>
          <w:highlight w:val="white"/>
          <w:lang w:val="en-US"/>
        </w:rPr>
        <w:t>is</w:t>
      </w:r>
      <w:r w:rsidRPr="00CD66EE">
        <w:rPr>
          <w:highlight w:val="white"/>
          <w:lang w:val="en-US"/>
        </w:rPr>
        <w:t xml:space="preserve"> calculated as the number of days between their ESRD onset date and their date of death (this calculation </w:t>
      </w:r>
      <w:r w:rsidR="008242E7" w:rsidRPr="008242E7">
        <w:rPr>
          <w:highlight w:val="white"/>
          <w:lang w:val="en-US"/>
        </w:rPr>
        <w:t>is</w:t>
      </w:r>
      <w:r w:rsidRPr="00CD66EE">
        <w:rPr>
          <w:highlight w:val="white"/>
          <w:lang w:val="en-US"/>
        </w:rPr>
        <w:t xml:space="preserve"> performed after removing the death dates of individuals in the 2008-2010 cohort who died after the cohort end date).</w:t>
      </w:r>
    </w:p>
    <w:p w14:paraId="13A746D4" w14:textId="77777777" w:rsidR="003720EF" w:rsidRPr="008242E7" w:rsidRDefault="003720EF">
      <w:pPr>
        <w:rPr>
          <w:highlight w:val="white"/>
        </w:rPr>
      </w:pPr>
    </w:p>
    <w:p w14:paraId="381729F2" w14:textId="4FE22F48" w:rsidR="003720EF" w:rsidRPr="008242E7" w:rsidRDefault="00382112">
      <w:pPr>
        <w:jc w:val="center"/>
        <w:rPr>
          <w:b/>
        </w:rPr>
      </w:pPr>
      <w:r>
        <w:rPr>
          <w:b/>
        </w:rPr>
        <w:t>4</w:t>
      </w:r>
      <w:r w:rsidR="00D76087" w:rsidRPr="008242E7">
        <w:rPr>
          <w:b/>
        </w:rPr>
        <w:t>. REPORT</w:t>
      </w:r>
    </w:p>
    <w:p w14:paraId="6BB101A0" w14:textId="77777777" w:rsidR="003720EF" w:rsidRPr="008242E7" w:rsidRDefault="003720EF">
      <w:pPr>
        <w:rPr>
          <w:i/>
        </w:rPr>
      </w:pPr>
    </w:p>
    <w:p w14:paraId="4C2F9C51" w14:textId="433DB626" w:rsidR="008242E7" w:rsidRDefault="008242E7">
      <w:pPr>
        <w:rPr>
          <w:iCs/>
        </w:rPr>
      </w:pPr>
      <w:r>
        <w:rPr>
          <w:iCs/>
        </w:rPr>
        <w:t>See more expectations for this final project in details in the project outline document.</w:t>
      </w:r>
    </w:p>
    <w:p w14:paraId="2878EE1A" w14:textId="29E8DB6C" w:rsidR="008242E7" w:rsidRPr="008242E7" w:rsidRDefault="008242E7" w:rsidP="008242E7">
      <w:pPr>
        <w:pStyle w:val="ListParagraph"/>
        <w:numPr>
          <w:ilvl w:val="0"/>
          <w:numId w:val="49"/>
        </w:numPr>
        <w:rPr>
          <w:b/>
          <w:bCs/>
          <w:iCs/>
        </w:rPr>
      </w:pPr>
      <w:r w:rsidRPr="008242E7">
        <w:rPr>
          <w:b/>
          <w:bCs/>
          <w:iCs/>
        </w:rPr>
        <w:t>Data management in SAS</w:t>
      </w:r>
    </w:p>
    <w:p w14:paraId="7C217094" w14:textId="21199042" w:rsidR="008242E7" w:rsidRPr="008242E7" w:rsidRDefault="008242E7" w:rsidP="008242E7">
      <w:pPr>
        <w:pStyle w:val="ListParagraph"/>
        <w:rPr>
          <w:iCs/>
        </w:rPr>
      </w:pPr>
      <w:r>
        <w:rPr>
          <w:iCs/>
        </w:rPr>
        <w:t xml:space="preserve">See the project outline in </w:t>
      </w:r>
      <w:r w:rsidR="00382112">
        <w:rPr>
          <w:iCs/>
        </w:rPr>
        <w:t>detail</w:t>
      </w:r>
    </w:p>
    <w:p w14:paraId="555DF646" w14:textId="0F6213BE" w:rsidR="008242E7" w:rsidRPr="00382112" w:rsidRDefault="008242E7" w:rsidP="00382112">
      <w:pPr>
        <w:pStyle w:val="ListParagraph"/>
        <w:numPr>
          <w:ilvl w:val="0"/>
          <w:numId w:val="49"/>
        </w:numPr>
        <w:rPr>
          <w:b/>
          <w:bCs/>
          <w:iCs/>
        </w:rPr>
      </w:pPr>
      <w:r w:rsidRPr="00382112">
        <w:rPr>
          <w:b/>
          <w:bCs/>
          <w:iCs/>
        </w:rPr>
        <w:t>Data Analysis in SAS</w:t>
      </w:r>
    </w:p>
    <w:p w14:paraId="5FC4C543" w14:textId="1AF51958" w:rsidR="00382112" w:rsidRDefault="00382112" w:rsidP="00382112">
      <w:pPr>
        <w:pStyle w:val="ListParagraph"/>
        <w:rPr>
          <w:iCs/>
        </w:rPr>
      </w:pPr>
      <w:r>
        <w:rPr>
          <w:iCs/>
        </w:rPr>
        <w:t>See the project outline in detail</w:t>
      </w:r>
    </w:p>
    <w:p w14:paraId="127B83CD" w14:textId="77777777" w:rsidR="00382112" w:rsidRPr="00382112" w:rsidRDefault="00382112" w:rsidP="00382112">
      <w:pPr>
        <w:pStyle w:val="ListParagraph"/>
        <w:rPr>
          <w:iCs/>
        </w:rPr>
      </w:pPr>
    </w:p>
    <w:p w14:paraId="009859BB" w14:textId="3D24E9F1" w:rsidR="003720EF" w:rsidRPr="008242E7" w:rsidRDefault="00D76087">
      <w:pPr>
        <w:rPr>
          <w:i/>
          <w:u w:val="single"/>
        </w:rPr>
      </w:pPr>
      <w:r w:rsidRPr="008242E7">
        <w:rPr>
          <w:i/>
          <w:u w:val="single"/>
        </w:rPr>
        <w:t>Participant Characteristics</w:t>
      </w:r>
    </w:p>
    <w:p w14:paraId="35784E5F" w14:textId="1745BB70" w:rsidR="003720EF" w:rsidRPr="008242E7" w:rsidRDefault="003720EF">
      <w:pPr>
        <w:jc w:val="center"/>
      </w:pPr>
    </w:p>
    <w:p w14:paraId="3D6A0F42" w14:textId="176729FF" w:rsidR="003720EF" w:rsidRPr="008242E7" w:rsidRDefault="00D76087">
      <w:pPr>
        <w:rPr>
          <w:u w:val="single"/>
        </w:rPr>
      </w:pPr>
      <w:r w:rsidRPr="008242E7">
        <w:rPr>
          <w:u w:val="single"/>
        </w:rPr>
        <w:t>Model-Building Process</w:t>
      </w:r>
    </w:p>
    <w:p w14:paraId="707ED176" w14:textId="77777777" w:rsidR="003720EF" w:rsidRPr="008242E7" w:rsidRDefault="003720EF">
      <w:pPr>
        <w:rPr>
          <w:highlight w:val="white"/>
        </w:rPr>
      </w:pPr>
    </w:p>
    <w:p w14:paraId="272E3978" w14:textId="1F8CFC8A" w:rsidR="003720EF" w:rsidRPr="008242E7" w:rsidRDefault="00041947">
      <w:pPr>
        <w:rPr>
          <w:highlight w:val="white"/>
          <w:u w:val="single"/>
        </w:rPr>
      </w:pPr>
      <w:r w:rsidRPr="008242E7">
        <w:rPr>
          <w:highlight w:val="white"/>
          <w:u w:val="single"/>
        </w:rPr>
        <w:t>Interpretation result findings</w:t>
      </w:r>
      <w:r w:rsidR="00D76087" w:rsidRPr="008242E7">
        <w:rPr>
          <w:highlight w:val="white"/>
          <w:u w:val="single"/>
        </w:rPr>
        <w:t xml:space="preserve"> </w:t>
      </w:r>
      <w:r w:rsidRPr="008242E7">
        <w:rPr>
          <w:highlight w:val="white"/>
          <w:u w:val="single"/>
        </w:rPr>
        <w:t xml:space="preserve">based on the final </w:t>
      </w:r>
      <w:r w:rsidR="00D76087" w:rsidRPr="008242E7">
        <w:rPr>
          <w:highlight w:val="white"/>
          <w:u w:val="single"/>
        </w:rPr>
        <w:t>Model</w:t>
      </w:r>
    </w:p>
    <w:p w14:paraId="2B679D86" w14:textId="77777777" w:rsidR="00E552DA" w:rsidRPr="008242E7" w:rsidRDefault="00E552DA"/>
    <w:p w14:paraId="20D37F55" w14:textId="77777777" w:rsidR="00E552DA" w:rsidRPr="008242E7" w:rsidRDefault="00E552DA">
      <w:pPr>
        <w:sectPr w:rsidR="00E552DA" w:rsidRPr="008242E7" w:rsidSect="006F3839">
          <w:headerReference w:type="default" r:id="rId8"/>
          <w:pgSz w:w="12240" w:h="15840"/>
          <w:pgMar w:top="1440" w:right="1440" w:bottom="1440" w:left="1440" w:header="720" w:footer="720" w:gutter="0"/>
          <w:cols w:space="720"/>
        </w:sectPr>
      </w:pPr>
    </w:p>
    <w:p w14:paraId="2E53F5DF" w14:textId="7A826C3C" w:rsidR="00E552DA" w:rsidRPr="008242E7" w:rsidRDefault="00E552DA"/>
    <w:p w14:paraId="104ED9FA" w14:textId="77777777" w:rsidR="003720EF" w:rsidRPr="008242E7" w:rsidRDefault="003720EF"/>
    <w:p w14:paraId="3C0D02F8" w14:textId="2308D605" w:rsidR="003720EF" w:rsidRPr="00382112" w:rsidRDefault="00D76087" w:rsidP="00382112">
      <w:pPr>
        <w:pStyle w:val="ListParagraph"/>
        <w:numPr>
          <w:ilvl w:val="0"/>
          <w:numId w:val="43"/>
        </w:numPr>
        <w:jc w:val="center"/>
        <w:rPr>
          <w:b/>
        </w:rPr>
      </w:pPr>
      <w:r w:rsidRPr="00382112">
        <w:rPr>
          <w:b/>
        </w:rPr>
        <w:t>DISCUSSION</w:t>
      </w:r>
    </w:p>
    <w:p w14:paraId="4F7B90E3" w14:textId="21C9CDFB" w:rsidR="00041947" w:rsidRPr="00382112" w:rsidRDefault="00382112" w:rsidP="00382112">
      <w:pPr>
        <w:rPr>
          <w:bCs/>
        </w:rPr>
      </w:pPr>
      <w:r>
        <w:rPr>
          <w:bCs/>
        </w:rPr>
        <w:t>See the project outline document …</w:t>
      </w:r>
    </w:p>
    <w:p w14:paraId="429EC74C" w14:textId="37EEAE42" w:rsidR="003720EF" w:rsidRPr="00382112" w:rsidRDefault="00D76087" w:rsidP="00382112">
      <w:pPr>
        <w:pStyle w:val="ListParagraph"/>
        <w:numPr>
          <w:ilvl w:val="0"/>
          <w:numId w:val="43"/>
        </w:numPr>
        <w:jc w:val="center"/>
        <w:rPr>
          <w:b/>
        </w:rPr>
      </w:pPr>
      <w:r w:rsidRPr="00382112">
        <w:rPr>
          <w:b/>
        </w:rPr>
        <w:t>APPENDIX</w:t>
      </w:r>
    </w:p>
    <w:p w14:paraId="60508B5E" w14:textId="60AD0E67" w:rsidR="003720EF" w:rsidRPr="008242E7" w:rsidRDefault="00041947">
      <w:r w:rsidRPr="008242E7">
        <w:t>You may separately have appendix in a separate document.  Below is just suggestion.</w:t>
      </w:r>
    </w:p>
    <w:p w14:paraId="0CFF9069" w14:textId="77777777" w:rsidR="003720EF" w:rsidRPr="008242E7" w:rsidRDefault="003720EF"/>
    <w:p w14:paraId="4353B7E7" w14:textId="77777777" w:rsidR="003720EF" w:rsidRPr="008242E7" w:rsidRDefault="00D76087">
      <w:pPr>
        <w:numPr>
          <w:ilvl w:val="0"/>
          <w:numId w:val="7"/>
        </w:numPr>
      </w:pPr>
      <w:r w:rsidRPr="008242E7">
        <w:t>SAS code files</w:t>
      </w:r>
    </w:p>
    <w:p w14:paraId="7DC2F5C0" w14:textId="77777777" w:rsidR="003720EF" w:rsidRPr="008242E7" w:rsidRDefault="00D76087">
      <w:pPr>
        <w:numPr>
          <w:ilvl w:val="1"/>
          <w:numId w:val="7"/>
        </w:numPr>
      </w:pPr>
      <w:r w:rsidRPr="008242E7">
        <w:t>Master SAS</w:t>
      </w:r>
    </w:p>
    <w:p w14:paraId="3B5AC8FA" w14:textId="77777777" w:rsidR="003720EF" w:rsidRPr="008242E7" w:rsidRDefault="00D76087">
      <w:pPr>
        <w:numPr>
          <w:ilvl w:val="1"/>
          <w:numId w:val="7"/>
        </w:numPr>
      </w:pPr>
      <w:r w:rsidRPr="008242E7">
        <w:t>Cohort Construction</w:t>
      </w:r>
    </w:p>
    <w:p w14:paraId="24DCECF9" w14:textId="77777777" w:rsidR="003720EF" w:rsidRPr="008242E7" w:rsidRDefault="00D76087">
      <w:pPr>
        <w:numPr>
          <w:ilvl w:val="1"/>
          <w:numId w:val="7"/>
        </w:numPr>
      </w:pPr>
      <w:r w:rsidRPr="008242E7">
        <w:t>Final Formatting</w:t>
      </w:r>
    </w:p>
    <w:p w14:paraId="4A7BD13E" w14:textId="77777777" w:rsidR="003720EF" w:rsidRPr="008242E7" w:rsidRDefault="00D76087">
      <w:pPr>
        <w:numPr>
          <w:ilvl w:val="1"/>
          <w:numId w:val="7"/>
        </w:numPr>
      </w:pPr>
      <w:r w:rsidRPr="008242E7">
        <w:t>Descriptive Analysis</w:t>
      </w:r>
    </w:p>
    <w:p w14:paraId="0B1707A0" w14:textId="77777777" w:rsidR="003720EF" w:rsidRPr="008242E7" w:rsidRDefault="00D76087">
      <w:pPr>
        <w:numPr>
          <w:ilvl w:val="1"/>
          <w:numId w:val="7"/>
        </w:numPr>
      </w:pPr>
      <w:r w:rsidRPr="008242E7">
        <w:t>Model Building</w:t>
      </w:r>
    </w:p>
    <w:p w14:paraId="0D8C3F46" w14:textId="77777777" w:rsidR="003720EF" w:rsidRPr="008242E7" w:rsidRDefault="00D76087">
      <w:pPr>
        <w:numPr>
          <w:ilvl w:val="1"/>
          <w:numId w:val="7"/>
        </w:numPr>
      </w:pPr>
      <w:r w:rsidRPr="008242E7">
        <w:t>Model Analysis</w:t>
      </w:r>
    </w:p>
    <w:p w14:paraId="5864121B" w14:textId="77777777" w:rsidR="003720EF" w:rsidRPr="008242E7" w:rsidRDefault="00D76087">
      <w:pPr>
        <w:numPr>
          <w:ilvl w:val="0"/>
          <w:numId w:val="7"/>
        </w:numPr>
      </w:pPr>
      <w:r w:rsidRPr="008242E7">
        <w:t>Analytic Data Set</w:t>
      </w:r>
    </w:p>
    <w:p w14:paraId="1217800F" w14:textId="77777777" w:rsidR="003720EF" w:rsidRPr="008242E7" w:rsidRDefault="00D76087">
      <w:pPr>
        <w:numPr>
          <w:ilvl w:val="0"/>
          <w:numId w:val="7"/>
        </w:numPr>
      </w:pPr>
      <w:r w:rsidRPr="008242E7">
        <w:t>Claims Data Set</w:t>
      </w:r>
    </w:p>
    <w:p w14:paraId="2A9888A8" w14:textId="77777777" w:rsidR="003720EF" w:rsidRPr="008242E7" w:rsidRDefault="00D76087">
      <w:pPr>
        <w:numPr>
          <w:ilvl w:val="0"/>
          <w:numId w:val="7"/>
        </w:numPr>
      </w:pPr>
      <w:r w:rsidRPr="008242E7">
        <w:t>SAS ODS Output (graphs, tables, model results)</w:t>
      </w:r>
    </w:p>
    <w:p w14:paraId="38BF5A44" w14:textId="77777777" w:rsidR="003720EF" w:rsidRPr="008242E7" w:rsidRDefault="003720EF">
      <w:pPr>
        <w:jc w:val="center"/>
        <w:rPr>
          <w:b/>
        </w:rPr>
      </w:pPr>
    </w:p>
    <w:p w14:paraId="34C48A0D" w14:textId="77777777" w:rsidR="008D7C69" w:rsidRPr="008242E7" w:rsidRDefault="008D7C69" w:rsidP="00041947">
      <w:pPr>
        <w:rPr>
          <w:b/>
        </w:rPr>
        <w:sectPr w:rsidR="008D7C69" w:rsidRPr="008242E7">
          <w:pgSz w:w="12240" w:h="15840"/>
          <w:pgMar w:top="1440" w:right="1440" w:bottom="1440" w:left="1440" w:header="720" w:footer="720" w:gutter="0"/>
          <w:pgNumType w:start="1"/>
          <w:cols w:space="720"/>
        </w:sectPr>
      </w:pPr>
    </w:p>
    <w:p w14:paraId="5D48F657" w14:textId="77777777" w:rsidR="003720EF" w:rsidRPr="008242E7" w:rsidRDefault="003720EF" w:rsidP="00041947">
      <w:pPr>
        <w:rPr>
          <w:b/>
        </w:rPr>
      </w:pPr>
    </w:p>
    <w:p w14:paraId="531F506E" w14:textId="50776447" w:rsidR="003720EF" w:rsidRPr="008242E7" w:rsidRDefault="00D76087" w:rsidP="00382112">
      <w:pPr>
        <w:pStyle w:val="ListParagraph"/>
        <w:jc w:val="center"/>
        <w:rPr>
          <w:b/>
        </w:rPr>
      </w:pPr>
      <w:r w:rsidRPr="008242E7">
        <w:rPr>
          <w:b/>
        </w:rPr>
        <w:t>REFERENCES</w:t>
      </w:r>
    </w:p>
    <w:p w14:paraId="45FE866A" w14:textId="29092BD2" w:rsidR="00041947" w:rsidRPr="008242E7" w:rsidRDefault="00041947" w:rsidP="00041947">
      <w:pPr>
        <w:rPr>
          <w:bCs/>
        </w:rPr>
      </w:pPr>
      <w:r w:rsidRPr="008242E7">
        <w:rPr>
          <w:bCs/>
        </w:rPr>
        <w:t>Below is a list of suggested references.</w:t>
      </w:r>
    </w:p>
    <w:p w14:paraId="735D6A38" w14:textId="77777777" w:rsidR="003720EF" w:rsidRPr="008242E7" w:rsidRDefault="003720EF">
      <w:pPr>
        <w:jc w:val="center"/>
        <w:rPr>
          <w:b/>
        </w:rPr>
      </w:pPr>
    </w:p>
    <w:p w14:paraId="61C0D383" w14:textId="77777777" w:rsidR="003720EF" w:rsidRPr="008242E7" w:rsidRDefault="00D76087">
      <w:r w:rsidRPr="008242E7">
        <w:t>Bhamidipati V.R. Murthy, Donald A. Molony and Austin G. Stack</w:t>
      </w:r>
    </w:p>
    <w:p w14:paraId="3D7F3B75" w14:textId="77777777" w:rsidR="003720EF" w:rsidRPr="008242E7" w:rsidRDefault="00D76087">
      <w:r w:rsidRPr="008242E7">
        <w:t xml:space="preserve">JASN March 2005, 16 (3) 782-790; DOI: </w:t>
      </w:r>
      <w:hyperlink r:id="rId9">
        <w:r w:rsidRPr="008242E7">
          <w:rPr>
            <w:color w:val="1155CC"/>
            <w:u w:val="single"/>
          </w:rPr>
          <w:t>https://doi.org/10.1681/ASN.2004080627</w:t>
        </w:r>
      </w:hyperlink>
    </w:p>
    <w:p w14:paraId="5518BC70" w14:textId="77777777" w:rsidR="003720EF" w:rsidRPr="008242E7" w:rsidRDefault="003720EF"/>
    <w:p w14:paraId="3101F2B9" w14:textId="77777777" w:rsidR="003720EF" w:rsidRPr="008242E7" w:rsidRDefault="00D76087">
      <w:r w:rsidRPr="008242E7">
        <w:t xml:space="preserve">Boateng E.A., East L. (2011). The impact of dialysis modality on quality of life: a systematic review. </w:t>
      </w:r>
      <w:r w:rsidRPr="008242E7">
        <w:rPr>
          <w:i/>
        </w:rPr>
        <w:t>Journal of Renal Care</w:t>
      </w:r>
      <w:r w:rsidRPr="008242E7">
        <w:t xml:space="preserve"> 37(4), 190–200.</w:t>
      </w:r>
    </w:p>
    <w:p w14:paraId="32C97B79" w14:textId="77777777" w:rsidR="003720EF" w:rsidRPr="008242E7" w:rsidRDefault="003720EF"/>
    <w:p w14:paraId="7692A9BE" w14:textId="77777777" w:rsidR="003720EF" w:rsidRPr="008242E7" w:rsidRDefault="00D76087">
      <w:pPr>
        <w:rPr>
          <w:color w:val="222222"/>
          <w:highlight w:val="white"/>
        </w:rPr>
      </w:pPr>
      <w:r w:rsidRPr="008242E7">
        <w:rPr>
          <w:color w:val="222222"/>
          <w:highlight w:val="white"/>
        </w:rPr>
        <w:t xml:space="preserve">Brown, E. A., Johansson, L., Farrington, K., Gallagher, H., </w:t>
      </w:r>
      <w:proofErr w:type="spellStart"/>
      <w:r w:rsidRPr="008242E7">
        <w:rPr>
          <w:color w:val="222222"/>
          <w:highlight w:val="white"/>
        </w:rPr>
        <w:t>Sensky</w:t>
      </w:r>
      <w:proofErr w:type="spellEnd"/>
      <w:r w:rsidRPr="008242E7">
        <w:rPr>
          <w:color w:val="222222"/>
          <w:highlight w:val="white"/>
        </w:rPr>
        <w:t xml:space="preserve">, T., Gordon, F., ... &amp; Hickson, M. (2010). Broadening Options for Long-term Dialysis in the Elderly (BOLDE): differences in quality of life on PD compared to </w:t>
      </w:r>
      <w:proofErr w:type="spellStart"/>
      <w:r w:rsidRPr="008242E7">
        <w:rPr>
          <w:color w:val="222222"/>
          <w:highlight w:val="white"/>
        </w:rPr>
        <w:t>haemodialysis</w:t>
      </w:r>
      <w:proofErr w:type="spellEnd"/>
      <w:r w:rsidRPr="008242E7">
        <w:rPr>
          <w:color w:val="222222"/>
          <w:highlight w:val="white"/>
        </w:rPr>
        <w:t xml:space="preserve"> for older patients. </w:t>
      </w:r>
      <w:r w:rsidRPr="008242E7">
        <w:rPr>
          <w:i/>
          <w:color w:val="222222"/>
          <w:highlight w:val="white"/>
        </w:rPr>
        <w:t>Nephrology Dialysis Transplantation</w:t>
      </w:r>
      <w:r w:rsidRPr="008242E7">
        <w:rPr>
          <w:color w:val="222222"/>
          <w:highlight w:val="white"/>
        </w:rPr>
        <w:t xml:space="preserve">, </w:t>
      </w:r>
      <w:r w:rsidRPr="008242E7">
        <w:rPr>
          <w:i/>
          <w:color w:val="222222"/>
          <w:highlight w:val="white"/>
        </w:rPr>
        <w:t>25</w:t>
      </w:r>
      <w:r w:rsidRPr="008242E7">
        <w:rPr>
          <w:color w:val="222222"/>
          <w:highlight w:val="white"/>
        </w:rPr>
        <w:t>(11), 3755-3763.</w:t>
      </w:r>
    </w:p>
    <w:p w14:paraId="7386E797" w14:textId="77777777" w:rsidR="003720EF" w:rsidRPr="008242E7" w:rsidRDefault="003720EF">
      <w:pPr>
        <w:rPr>
          <w:color w:val="222222"/>
          <w:highlight w:val="white"/>
        </w:rPr>
      </w:pPr>
    </w:p>
    <w:p w14:paraId="196F7894" w14:textId="77777777" w:rsidR="003720EF" w:rsidRPr="008242E7" w:rsidRDefault="00D76087">
      <w:pPr>
        <w:rPr>
          <w:color w:val="222222"/>
          <w:highlight w:val="white"/>
        </w:rPr>
      </w:pPr>
      <w:r w:rsidRPr="008242E7">
        <w:rPr>
          <w:color w:val="222222"/>
          <w:highlight w:val="white"/>
        </w:rPr>
        <w:t xml:space="preserve">Byrne, Colene, Jerry Nedelman, and Robert G. Luke. "Race, socioeconomic status, and the development of end-stage renal disease." </w:t>
      </w:r>
      <w:r w:rsidRPr="008242E7">
        <w:rPr>
          <w:i/>
          <w:color w:val="222222"/>
          <w:highlight w:val="white"/>
        </w:rPr>
        <w:t>American Journal of Kidney Diseases</w:t>
      </w:r>
      <w:r w:rsidRPr="008242E7">
        <w:rPr>
          <w:color w:val="222222"/>
          <w:highlight w:val="white"/>
        </w:rPr>
        <w:t xml:space="preserve"> 23.1 (1994): 16-22.</w:t>
      </w:r>
    </w:p>
    <w:p w14:paraId="64718ED2" w14:textId="77777777" w:rsidR="003720EF" w:rsidRPr="008242E7" w:rsidRDefault="003720EF">
      <w:pPr>
        <w:rPr>
          <w:color w:val="222222"/>
          <w:highlight w:val="white"/>
        </w:rPr>
      </w:pPr>
    </w:p>
    <w:p w14:paraId="7380EBF2" w14:textId="77777777" w:rsidR="003720EF" w:rsidRPr="008242E7" w:rsidRDefault="00D76087">
      <w:pPr>
        <w:rPr>
          <w:color w:val="222222"/>
          <w:highlight w:val="white"/>
        </w:rPr>
      </w:pPr>
      <w:proofErr w:type="spellStart"/>
      <w:r w:rsidRPr="008242E7">
        <w:t>Ghaderian</w:t>
      </w:r>
      <w:proofErr w:type="spellEnd"/>
      <w:r w:rsidRPr="008242E7">
        <w:t xml:space="preserve"> SB, Hayati F, </w:t>
      </w:r>
      <w:proofErr w:type="spellStart"/>
      <w:r w:rsidRPr="008242E7">
        <w:t>Shayanpour</w:t>
      </w:r>
      <w:proofErr w:type="spellEnd"/>
      <w:r w:rsidRPr="008242E7">
        <w:t xml:space="preserve"> S, </w:t>
      </w:r>
      <w:proofErr w:type="spellStart"/>
      <w:r w:rsidRPr="008242E7">
        <w:t>Beladi</w:t>
      </w:r>
      <w:proofErr w:type="spellEnd"/>
      <w:r w:rsidRPr="008242E7">
        <w:t xml:space="preserve"> Mousavi SS. Diabetes and end-stage renal disease; a review article on new concepts. </w:t>
      </w:r>
      <w:r w:rsidRPr="008242E7">
        <w:rPr>
          <w:i/>
        </w:rPr>
        <w:t xml:space="preserve">J Renal </w:t>
      </w:r>
      <w:proofErr w:type="spellStart"/>
      <w:r w:rsidRPr="008242E7">
        <w:rPr>
          <w:i/>
        </w:rPr>
        <w:t>Inj</w:t>
      </w:r>
      <w:proofErr w:type="spellEnd"/>
      <w:r w:rsidRPr="008242E7">
        <w:rPr>
          <w:i/>
        </w:rPr>
        <w:t xml:space="preserve"> Prev</w:t>
      </w:r>
      <w:r w:rsidRPr="008242E7">
        <w:t>. 2015;4(2):28-33. Published 2015 Jun 1. doi:10.12861/jrip.2015.07</w:t>
      </w:r>
    </w:p>
    <w:p w14:paraId="33E8A511" w14:textId="77777777" w:rsidR="003720EF" w:rsidRPr="008242E7" w:rsidRDefault="003720EF">
      <w:pPr>
        <w:rPr>
          <w:color w:val="222222"/>
          <w:highlight w:val="white"/>
        </w:rPr>
      </w:pPr>
    </w:p>
    <w:p w14:paraId="7F114447" w14:textId="77777777" w:rsidR="003720EF" w:rsidRPr="008242E7" w:rsidRDefault="00D76087">
      <w:pPr>
        <w:rPr>
          <w:color w:val="222222"/>
          <w:highlight w:val="white"/>
        </w:rPr>
      </w:pPr>
      <w:proofErr w:type="spellStart"/>
      <w:r w:rsidRPr="008242E7">
        <w:rPr>
          <w:color w:val="222222"/>
          <w:highlight w:val="white"/>
        </w:rPr>
        <w:t>Heaf</w:t>
      </w:r>
      <w:proofErr w:type="spellEnd"/>
      <w:r w:rsidRPr="008242E7">
        <w:rPr>
          <w:color w:val="222222"/>
          <w:highlight w:val="white"/>
        </w:rPr>
        <w:t xml:space="preserve">, J. G., &amp; </w:t>
      </w:r>
      <w:proofErr w:type="spellStart"/>
      <w:r w:rsidRPr="008242E7">
        <w:rPr>
          <w:color w:val="222222"/>
          <w:highlight w:val="white"/>
        </w:rPr>
        <w:t>Wehberg</w:t>
      </w:r>
      <w:proofErr w:type="spellEnd"/>
      <w:r w:rsidRPr="008242E7">
        <w:rPr>
          <w:color w:val="222222"/>
          <w:highlight w:val="white"/>
        </w:rPr>
        <w:t xml:space="preserve">, S. (2014). Relative survival of PD and </w:t>
      </w:r>
      <w:proofErr w:type="spellStart"/>
      <w:r w:rsidRPr="008242E7">
        <w:rPr>
          <w:color w:val="222222"/>
          <w:highlight w:val="white"/>
        </w:rPr>
        <w:t>haemodialysis</w:t>
      </w:r>
      <w:proofErr w:type="spellEnd"/>
      <w:r w:rsidRPr="008242E7">
        <w:rPr>
          <w:color w:val="222222"/>
          <w:highlight w:val="white"/>
        </w:rPr>
        <w:t xml:space="preserve"> patients: effect of cohort and mode of dialysis initiation. </w:t>
      </w:r>
      <w:proofErr w:type="spellStart"/>
      <w:r w:rsidRPr="008242E7">
        <w:rPr>
          <w:i/>
          <w:color w:val="222222"/>
          <w:highlight w:val="white"/>
        </w:rPr>
        <w:t>PLoS</w:t>
      </w:r>
      <w:proofErr w:type="spellEnd"/>
      <w:r w:rsidRPr="008242E7">
        <w:rPr>
          <w:i/>
          <w:color w:val="222222"/>
          <w:highlight w:val="white"/>
        </w:rPr>
        <w:t xml:space="preserve"> One</w:t>
      </w:r>
      <w:r w:rsidRPr="008242E7">
        <w:rPr>
          <w:color w:val="222222"/>
          <w:highlight w:val="white"/>
        </w:rPr>
        <w:t xml:space="preserve">, </w:t>
      </w:r>
      <w:r w:rsidRPr="008242E7">
        <w:rPr>
          <w:i/>
          <w:color w:val="222222"/>
          <w:highlight w:val="white"/>
        </w:rPr>
        <w:t>9</w:t>
      </w:r>
      <w:r w:rsidRPr="008242E7">
        <w:rPr>
          <w:color w:val="222222"/>
          <w:highlight w:val="white"/>
        </w:rPr>
        <w:t>(3), e90119.</w:t>
      </w:r>
    </w:p>
    <w:p w14:paraId="54756675" w14:textId="77777777" w:rsidR="003720EF" w:rsidRPr="008242E7" w:rsidRDefault="003720EF">
      <w:pPr>
        <w:rPr>
          <w:color w:val="222222"/>
          <w:highlight w:val="white"/>
        </w:rPr>
      </w:pPr>
    </w:p>
    <w:p w14:paraId="36E86A59" w14:textId="77777777" w:rsidR="003720EF" w:rsidRPr="008242E7" w:rsidRDefault="00D76087">
      <w:pPr>
        <w:rPr>
          <w:color w:val="222222"/>
          <w:highlight w:val="white"/>
        </w:rPr>
      </w:pPr>
      <w:r w:rsidRPr="008242E7">
        <w:rPr>
          <w:color w:val="222222"/>
          <w:highlight w:val="white"/>
        </w:rPr>
        <w:t xml:space="preserve">Hosmer, David, </w:t>
      </w:r>
      <w:proofErr w:type="spellStart"/>
      <w:r w:rsidRPr="008242E7">
        <w:rPr>
          <w:color w:val="222222"/>
          <w:highlight w:val="white"/>
        </w:rPr>
        <w:t>Lemeshow</w:t>
      </w:r>
      <w:proofErr w:type="spellEnd"/>
      <w:r w:rsidRPr="008242E7">
        <w:rPr>
          <w:color w:val="222222"/>
          <w:highlight w:val="white"/>
        </w:rPr>
        <w:t xml:space="preserve">, Stanley and Sturdivant, Rodney (2013). </w:t>
      </w:r>
      <w:r w:rsidRPr="008242E7">
        <w:rPr>
          <w:color w:val="222222"/>
          <w:highlight w:val="white"/>
          <w:u w:val="single"/>
        </w:rPr>
        <w:t>Applied Logistic Regression</w:t>
      </w:r>
      <w:r w:rsidRPr="008242E7">
        <w:rPr>
          <w:color w:val="222222"/>
          <w:highlight w:val="white"/>
        </w:rPr>
        <w:t>. 3rd edition. Hoboken, New Jersey: John Wiley &amp; Sons, Inc.</w:t>
      </w:r>
    </w:p>
    <w:p w14:paraId="0D44BBFD" w14:textId="77777777" w:rsidR="003720EF" w:rsidRPr="008242E7" w:rsidRDefault="003720EF">
      <w:pPr>
        <w:rPr>
          <w:color w:val="222222"/>
          <w:highlight w:val="white"/>
        </w:rPr>
      </w:pPr>
    </w:p>
    <w:p w14:paraId="20ECA2B7" w14:textId="77777777" w:rsidR="003720EF" w:rsidRPr="008242E7" w:rsidRDefault="00D76087">
      <w:pPr>
        <w:rPr>
          <w:color w:val="222222"/>
          <w:highlight w:val="white"/>
        </w:rPr>
      </w:pPr>
      <w:r w:rsidRPr="008242E7">
        <w:rPr>
          <w:color w:val="222222"/>
          <w:highlight w:val="white"/>
        </w:rPr>
        <w:t xml:space="preserve">Kausz, A. T., Obrador, G. T., Arora, P., </w:t>
      </w:r>
      <w:proofErr w:type="spellStart"/>
      <w:r w:rsidRPr="008242E7">
        <w:rPr>
          <w:color w:val="222222"/>
          <w:highlight w:val="white"/>
        </w:rPr>
        <w:t>Ruthazer</w:t>
      </w:r>
      <w:proofErr w:type="spellEnd"/>
      <w:r w:rsidRPr="008242E7">
        <w:rPr>
          <w:color w:val="222222"/>
          <w:highlight w:val="white"/>
        </w:rPr>
        <w:t xml:space="preserve">, R., Levey, A. S., &amp; Pereira, B. J. (2000). Late initiation of dialysis among women and ethnic minorities in the United States. </w:t>
      </w:r>
      <w:r w:rsidRPr="008242E7">
        <w:rPr>
          <w:i/>
          <w:color w:val="222222"/>
          <w:highlight w:val="white"/>
        </w:rPr>
        <w:t>Journal of the American Society of Nephrology</w:t>
      </w:r>
      <w:r w:rsidRPr="008242E7">
        <w:rPr>
          <w:color w:val="222222"/>
          <w:highlight w:val="white"/>
        </w:rPr>
        <w:t xml:space="preserve">, </w:t>
      </w:r>
      <w:r w:rsidRPr="008242E7">
        <w:rPr>
          <w:i/>
          <w:color w:val="222222"/>
          <w:highlight w:val="white"/>
        </w:rPr>
        <w:t>11</w:t>
      </w:r>
      <w:r w:rsidRPr="008242E7">
        <w:rPr>
          <w:color w:val="222222"/>
          <w:highlight w:val="white"/>
        </w:rPr>
        <w:t>(12), 2351-2357.</w:t>
      </w:r>
    </w:p>
    <w:p w14:paraId="312B1D19" w14:textId="77777777" w:rsidR="003720EF" w:rsidRPr="008242E7" w:rsidRDefault="003720EF">
      <w:pPr>
        <w:rPr>
          <w:color w:val="222222"/>
          <w:highlight w:val="white"/>
        </w:rPr>
      </w:pPr>
    </w:p>
    <w:p w14:paraId="5E082105" w14:textId="77777777" w:rsidR="003720EF" w:rsidRPr="008242E7" w:rsidRDefault="00D76087">
      <w:pPr>
        <w:rPr>
          <w:color w:val="222222"/>
          <w:highlight w:val="white"/>
        </w:rPr>
      </w:pPr>
      <w:proofErr w:type="spellStart"/>
      <w:r w:rsidRPr="008242E7">
        <w:rPr>
          <w:color w:val="222222"/>
          <w:highlight w:val="white"/>
        </w:rPr>
        <w:t>Kucirka</w:t>
      </w:r>
      <w:proofErr w:type="spellEnd"/>
      <w:r w:rsidRPr="008242E7">
        <w:rPr>
          <w:color w:val="222222"/>
          <w:highlight w:val="white"/>
        </w:rPr>
        <w:t xml:space="preserve">, L. M., Grams, M. E., Lessler, J., Hall, E. C., James, N., Massie, A. B., ... &amp; Segev, D. L. (2011). Association of race and age with survival among patients undergoing dialysis. </w:t>
      </w:r>
      <w:r w:rsidRPr="008242E7">
        <w:rPr>
          <w:i/>
          <w:color w:val="222222"/>
          <w:highlight w:val="white"/>
        </w:rPr>
        <w:t>Jama</w:t>
      </w:r>
      <w:r w:rsidRPr="008242E7">
        <w:rPr>
          <w:color w:val="222222"/>
          <w:highlight w:val="white"/>
        </w:rPr>
        <w:t xml:space="preserve">, </w:t>
      </w:r>
      <w:r w:rsidRPr="008242E7">
        <w:rPr>
          <w:i/>
          <w:color w:val="222222"/>
          <w:highlight w:val="white"/>
        </w:rPr>
        <w:t>306</w:t>
      </w:r>
      <w:r w:rsidRPr="008242E7">
        <w:rPr>
          <w:color w:val="222222"/>
          <w:highlight w:val="white"/>
        </w:rPr>
        <w:t>(6), 620-626.</w:t>
      </w:r>
    </w:p>
    <w:p w14:paraId="78E7ADF4" w14:textId="77777777" w:rsidR="003720EF" w:rsidRPr="008242E7" w:rsidRDefault="003720EF">
      <w:pPr>
        <w:rPr>
          <w:color w:val="222222"/>
          <w:highlight w:val="white"/>
        </w:rPr>
      </w:pPr>
    </w:p>
    <w:p w14:paraId="6B09747B" w14:textId="77777777" w:rsidR="003720EF" w:rsidRPr="008242E7" w:rsidRDefault="00D76087">
      <w:pPr>
        <w:rPr>
          <w:color w:val="222222"/>
          <w:highlight w:val="white"/>
        </w:rPr>
      </w:pPr>
      <w:r w:rsidRPr="008242E7">
        <w:rPr>
          <w:color w:val="222222"/>
          <w:highlight w:val="white"/>
        </w:rPr>
        <w:t xml:space="preserve">Li, S., &amp; Collins, A. J. (2004). Association of hematocrit value with cardiovascular morbidity and mortality in incident HD patients. </w:t>
      </w:r>
      <w:r w:rsidRPr="008242E7">
        <w:rPr>
          <w:i/>
          <w:color w:val="222222"/>
          <w:highlight w:val="white"/>
        </w:rPr>
        <w:t>Kidney international</w:t>
      </w:r>
      <w:r w:rsidRPr="008242E7">
        <w:rPr>
          <w:color w:val="222222"/>
          <w:highlight w:val="white"/>
        </w:rPr>
        <w:t xml:space="preserve">, </w:t>
      </w:r>
      <w:r w:rsidRPr="008242E7">
        <w:rPr>
          <w:i/>
          <w:color w:val="222222"/>
          <w:highlight w:val="white"/>
        </w:rPr>
        <w:t>65</w:t>
      </w:r>
      <w:r w:rsidRPr="008242E7">
        <w:rPr>
          <w:color w:val="222222"/>
          <w:highlight w:val="white"/>
        </w:rPr>
        <w:t>(2), 626-633.</w:t>
      </w:r>
    </w:p>
    <w:p w14:paraId="64C682D9" w14:textId="77777777" w:rsidR="003720EF" w:rsidRPr="008242E7" w:rsidRDefault="003720EF">
      <w:pPr>
        <w:rPr>
          <w:color w:val="222222"/>
          <w:highlight w:val="white"/>
        </w:rPr>
      </w:pPr>
    </w:p>
    <w:p w14:paraId="2E96BBE4" w14:textId="77777777" w:rsidR="003720EF" w:rsidRPr="008242E7" w:rsidRDefault="00D76087">
      <w:pPr>
        <w:rPr>
          <w:color w:val="222222"/>
          <w:highlight w:val="white"/>
        </w:rPr>
      </w:pPr>
      <w:r w:rsidRPr="008242E7">
        <w:rPr>
          <w:color w:val="222222"/>
          <w:highlight w:val="white"/>
        </w:rPr>
        <w:t xml:space="preserve">Liu, K. D., Himmelfarb, J., Paganini, E., </w:t>
      </w:r>
      <w:proofErr w:type="spellStart"/>
      <w:r w:rsidRPr="008242E7">
        <w:rPr>
          <w:color w:val="222222"/>
          <w:highlight w:val="white"/>
        </w:rPr>
        <w:t>Ikizler</w:t>
      </w:r>
      <w:proofErr w:type="spellEnd"/>
      <w:r w:rsidRPr="008242E7">
        <w:rPr>
          <w:color w:val="222222"/>
          <w:highlight w:val="white"/>
        </w:rPr>
        <w:t xml:space="preserve">, T. A., Soroko, S. H., Mehta, R. L., &amp; </w:t>
      </w:r>
      <w:proofErr w:type="spellStart"/>
      <w:r w:rsidRPr="008242E7">
        <w:rPr>
          <w:color w:val="222222"/>
          <w:highlight w:val="white"/>
        </w:rPr>
        <w:t>Chertow</w:t>
      </w:r>
      <w:proofErr w:type="spellEnd"/>
      <w:r w:rsidRPr="008242E7">
        <w:rPr>
          <w:color w:val="222222"/>
          <w:highlight w:val="white"/>
        </w:rPr>
        <w:t xml:space="preserve">, G. M. (2006). Timing of initiation of dialysis in critically ill patients with acute kidney injury. </w:t>
      </w:r>
      <w:r w:rsidRPr="008242E7">
        <w:rPr>
          <w:i/>
          <w:color w:val="222222"/>
          <w:highlight w:val="white"/>
        </w:rPr>
        <w:t>Clinical Journal of the American Society of Nephrology</w:t>
      </w:r>
      <w:r w:rsidRPr="008242E7">
        <w:rPr>
          <w:color w:val="222222"/>
          <w:highlight w:val="white"/>
        </w:rPr>
        <w:t xml:space="preserve">, </w:t>
      </w:r>
      <w:r w:rsidRPr="008242E7">
        <w:rPr>
          <w:i/>
          <w:color w:val="222222"/>
          <w:highlight w:val="white"/>
        </w:rPr>
        <w:t>1</w:t>
      </w:r>
      <w:r w:rsidRPr="008242E7">
        <w:rPr>
          <w:color w:val="222222"/>
          <w:highlight w:val="white"/>
        </w:rPr>
        <w:t>(5), 915-919.</w:t>
      </w:r>
    </w:p>
    <w:p w14:paraId="67B2D35F" w14:textId="77777777" w:rsidR="003720EF" w:rsidRPr="008242E7" w:rsidRDefault="003720EF">
      <w:pPr>
        <w:rPr>
          <w:color w:val="222222"/>
          <w:highlight w:val="white"/>
        </w:rPr>
      </w:pPr>
    </w:p>
    <w:p w14:paraId="5263D088" w14:textId="77777777" w:rsidR="003720EF" w:rsidRPr="008242E7" w:rsidRDefault="00D76087">
      <w:pPr>
        <w:rPr>
          <w:color w:val="222222"/>
          <w:highlight w:val="white"/>
        </w:rPr>
      </w:pPr>
      <w:proofErr w:type="spellStart"/>
      <w:r w:rsidRPr="008242E7">
        <w:rPr>
          <w:color w:val="222222"/>
          <w:highlight w:val="white"/>
        </w:rPr>
        <w:t>Lobbedez</w:t>
      </w:r>
      <w:proofErr w:type="spellEnd"/>
      <w:r w:rsidRPr="008242E7">
        <w:rPr>
          <w:color w:val="222222"/>
          <w:highlight w:val="white"/>
        </w:rPr>
        <w:t xml:space="preserve">, T., </w:t>
      </w:r>
      <w:proofErr w:type="spellStart"/>
      <w:r w:rsidRPr="008242E7">
        <w:rPr>
          <w:color w:val="222222"/>
          <w:highlight w:val="white"/>
        </w:rPr>
        <w:t>Crand</w:t>
      </w:r>
      <w:proofErr w:type="spellEnd"/>
      <w:r w:rsidRPr="008242E7">
        <w:rPr>
          <w:color w:val="222222"/>
          <w:highlight w:val="white"/>
        </w:rPr>
        <w:t xml:space="preserve">, A., Le Roy, F., Landru, I., Quéré, C., &amp; </w:t>
      </w:r>
      <w:proofErr w:type="spellStart"/>
      <w:r w:rsidRPr="008242E7">
        <w:rPr>
          <w:color w:val="222222"/>
          <w:highlight w:val="white"/>
        </w:rPr>
        <w:t>Ryckelynck</w:t>
      </w:r>
      <w:proofErr w:type="spellEnd"/>
      <w:r w:rsidRPr="008242E7">
        <w:rPr>
          <w:color w:val="222222"/>
          <w:highlight w:val="white"/>
        </w:rPr>
        <w:t xml:space="preserve">, J. P. (2005). Transfer from chronic </w:t>
      </w:r>
      <w:proofErr w:type="spellStart"/>
      <w:r w:rsidRPr="008242E7">
        <w:rPr>
          <w:color w:val="222222"/>
          <w:highlight w:val="white"/>
        </w:rPr>
        <w:t>haemodialysis</w:t>
      </w:r>
      <w:proofErr w:type="spellEnd"/>
      <w:r w:rsidRPr="008242E7">
        <w:rPr>
          <w:color w:val="222222"/>
          <w:highlight w:val="white"/>
        </w:rPr>
        <w:t xml:space="preserve"> to PD. </w:t>
      </w:r>
      <w:r w:rsidRPr="008242E7">
        <w:rPr>
          <w:i/>
          <w:color w:val="222222"/>
          <w:highlight w:val="white"/>
        </w:rPr>
        <w:t xml:space="preserve">Nephrologie &amp; </w:t>
      </w:r>
      <w:proofErr w:type="spellStart"/>
      <w:r w:rsidRPr="008242E7">
        <w:rPr>
          <w:i/>
          <w:color w:val="222222"/>
          <w:highlight w:val="white"/>
        </w:rPr>
        <w:t>therapeutique</w:t>
      </w:r>
      <w:proofErr w:type="spellEnd"/>
      <w:r w:rsidRPr="008242E7">
        <w:rPr>
          <w:color w:val="222222"/>
          <w:highlight w:val="white"/>
        </w:rPr>
        <w:t xml:space="preserve">, </w:t>
      </w:r>
      <w:r w:rsidRPr="008242E7">
        <w:rPr>
          <w:i/>
          <w:color w:val="222222"/>
          <w:highlight w:val="white"/>
        </w:rPr>
        <w:t>1</w:t>
      </w:r>
      <w:r w:rsidRPr="008242E7">
        <w:rPr>
          <w:color w:val="222222"/>
          <w:highlight w:val="white"/>
        </w:rPr>
        <w:t>(1), 38-43.</w:t>
      </w:r>
    </w:p>
    <w:p w14:paraId="5A43D642" w14:textId="77777777" w:rsidR="003720EF" w:rsidRPr="008242E7" w:rsidRDefault="003720EF">
      <w:pPr>
        <w:rPr>
          <w:color w:val="222222"/>
          <w:highlight w:val="white"/>
        </w:rPr>
      </w:pPr>
    </w:p>
    <w:p w14:paraId="777F8E8B" w14:textId="77777777" w:rsidR="003720EF" w:rsidRPr="008242E7" w:rsidRDefault="00D76087">
      <w:pPr>
        <w:rPr>
          <w:color w:val="222222"/>
          <w:highlight w:val="white"/>
        </w:rPr>
      </w:pPr>
      <w:r w:rsidRPr="008242E7">
        <w:rPr>
          <w:color w:val="222222"/>
          <w:highlight w:val="white"/>
        </w:rPr>
        <w:t xml:space="preserve">Mehrotra, R., Chiu, Y. W., Kalantar-Zadeh, K., Bargman, J., &amp; Vonesh, E. (2011). Similar outcomes with HD and PD in patients with end-stage renal disease. </w:t>
      </w:r>
      <w:r w:rsidRPr="008242E7">
        <w:rPr>
          <w:i/>
          <w:color w:val="222222"/>
          <w:highlight w:val="white"/>
        </w:rPr>
        <w:t>Archives of internal medicine</w:t>
      </w:r>
      <w:r w:rsidRPr="008242E7">
        <w:rPr>
          <w:color w:val="222222"/>
          <w:highlight w:val="white"/>
        </w:rPr>
        <w:t xml:space="preserve">, </w:t>
      </w:r>
      <w:r w:rsidRPr="008242E7">
        <w:rPr>
          <w:i/>
          <w:color w:val="222222"/>
          <w:highlight w:val="white"/>
        </w:rPr>
        <w:t>171</w:t>
      </w:r>
      <w:r w:rsidRPr="008242E7">
        <w:rPr>
          <w:color w:val="222222"/>
          <w:highlight w:val="white"/>
        </w:rPr>
        <w:t>(2), 110-118.</w:t>
      </w:r>
    </w:p>
    <w:p w14:paraId="738C7243" w14:textId="77777777" w:rsidR="003720EF" w:rsidRPr="008242E7" w:rsidRDefault="003720EF">
      <w:pPr>
        <w:rPr>
          <w:color w:val="222222"/>
          <w:highlight w:val="white"/>
        </w:rPr>
      </w:pPr>
    </w:p>
    <w:p w14:paraId="6E0879A3" w14:textId="77777777" w:rsidR="003720EF" w:rsidRPr="008242E7" w:rsidRDefault="00D76087">
      <w:pPr>
        <w:rPr>
          <w:color w:val="222222"/>
          <w:highlight w:val="white"/>
        </w:rPr>
      </w:pPr>
      <w:r w:rsidRPr="008242E7">
        <w:rPr>
          <w:color w:val="222222"/>
          <w:highlight w:val="white"/>
        </w:rPr>
        <w:t xml:space="preserve">National Kidney Foundation (2021). PD: what you need to know. Web page accessed 11.26.2021 at: </w:t>
      </w:r>
      <w:hyperlink r:id="rId10">
        <w:r w:rsidRPr="008242E7">
          <w:rPr>
            <w:color w:val="1155CC"/>
            <w:highlight w:val="white"/>
            <w:u w:val="single"/>
          </w:rPr>
          <w:t>https://www.kidney.org/atoz/content/peritoneal</w:t>
        </w:r>
      </w:hyperlink>
      <w:r w:rsidRPr="008242E7">
        <w:rPr>
          <w:color w:val="222222"/>
          <w:highlight w:val="white"/>
        </w:rPr>
        <w:t xml:space="preserve">. </w:t>
      </w:r>
    </w:p>
    <w:p w14:paraId="562F4173" w14:textId="77777777" w:rsidR="003720EF" w:rsidRPr="008242E7" w:rsidRDefault="003720EF">
      <w:pPr>
        <w:rPr>
          <w:color w:val="222222"/>
          <w:highlight w:val="white"/>
        </w:rPr>
      </w:pPr>
    </w:p>
    <w:p w14:paraId="6DEEAD85" w14:textId="77777777" w:rsidR="003720EF" w:rsidRPr="008242E7" w:rsidRDefault="00D76087">
      <w:pPr>
        <w:rPr>
          <w:color w:val="222222"/>
          <w:highlight w:val="white"/>
        </w:rPr>
      </w:pPr>
      <w:r w:rsidRPr="008242E7">
        <w:rPr>
          <w:color w:val="222222"/>
          <w:highlight w:val="white"/>
        </w:rPr>
        <w:t xml:space="preserve">Nessim, S. J., Bargman, J. M., Jassal, S. V., Oliver, M. J., Na, Y., &amp; Perl, J. (2015). The impact of transfer from HD on PD technique survival. </w:t>
      </w:r>
      <w:r w:rsidRPr="008242E7">
        <w:rPr>
          <w:i/>
          <w:color w:val="222222"/>
          <w:highlight w:val="white"/>
        </w:rPr>
        <w:t>PD International</w:t>
      </w:r>
      <w:r w:rsidRPr="008242E7">
        <w:rPr>
          <w:color w:val="222222"/>
          <w:highlight w:val="white"/>
        </w:rPr>
        <w:t xml:space="preserve">, </w:t>
      </w:r>
      <w:r w:rsidRPr="008242E7">
        <w:rPr>
          <w:i/>
          <w:color w:val="222222"/>
          <w:highlight w:val="white"/>
        </w:rPr>
        <w:t>35</w:t>
      </w:r>
      <w:r w:rsidRPr="008242E7">
        <w:rPr>
          <w:color w:val="222222"/>
          <w:highlight w:val="white"/>
        </w:rPr>
        <w:t>(3), 297-305.</w:t>
      </w:r>
    </w:p>
    <w:p w14:paraId="7883B1DC" w14:textId="77777777" w:rsidR="003720EF" w:rsidRPr="008242E7" w:rsidRDefault="003720EF">
      <w:pPr>
        <w:rPr>
          <w:color w:val="222222"/>
          <w:highlight w:val="white"/>
        </w:rPr>
      </w:pPr>
    </w:p>
    <w:p w14:paraId="6F4B5083" w14:textId="77777777" w:rsidR="003720EF" w:rsidRPr="008242E7" w:rsidRDefault="00D76087">
      <w:pPr>
        <w:rPr>
          <w:color w:val="222222"/>
          <w:highlight w:val="white"/>
        </w:rPr>
      </w:pPr>
      <w:proofErr w:type="spellStart"/>
      <w:r w:rsidRPr="008242E7">
        <w:rPr>
          <w:color w:val="222222"/>
          <w:highlight w:val="white"/>
        </w:rPr>
        <w:t>Noshad</w:t>
      </w:r>
      <w:proofErr w:type="spellEnd"/>
      <w:r w:rsidRPr="008242E7">
        <w:rPr>
          <w:color w:val="222222"/>
          <w:highlight w:val="white"/>
        </w:rPr>
        <w:t xml:space="preserve">, H., </w:t>
      </w:r>
      <w:proofErr w:type="spellStart"/>
      <w:r w:rsidRPr="008242E7">
        <w:rPr>
          <w:color w:val="222222"/>
          <w:highlight w:val="white"/>
        </w:rPr>
        <w:t>Sadreddini</w:t>
      </w:r>
      <w:proofErr w:type="spellEnd"/>
      <w:r w:rsidRPr="008242E7">
        <w:rPr>
          <w:color w:val="222222"/>
          <w:highlight w:val="white"/>
        </w:rPr>
        <w:t xml:space="preserve">, S., Nezami, N., </w:t>
      </w:r>
      <w:proofErr w:type="spellStart"/>
      <w:r w:rsidRPr="008242E7">
        <w:rPr>
          <w:color w:val="222222"/>
          <w:highlight w:val="white"/>
        </w:rPr>
        <w:t>Salekzamani</w:t>
      </w:r>
      <w:proofErr w:type="spellEnd"/>
      <w:r w:rsidRPr="008242E7">
        <w:rPr>
          <w:color w:val="222222"/>
          <w:highlight w:val="white"/>
        </w:rPr>
        <w:t xml:space="preserve">, Y., &amp; Ardalan, M. R. (2009). Comparison of outcome and quality of life: </w:t>
      </w:r>
      <w:proofErr w:type="spellStart"/>
      <w:r w:rsidRPr="008242E7">
        <w:rPr>
          <w:color w:val="222222"/>
          <w:highlight w:val="white"/>
        </w:rPr>
        <w:t>haemodialysis</w:t>
      </w:r>
      <w:proofErr w:type="spellEnd"/>
      <w:r w:rsidRPr="008242E7">
        <w:rPr>
          <w:color w:val="222222"/>
          <w:highlight w:val="white"/>
        </w:rPr>
        <w:t xml:space="preserve"> versus peritoneal dialysis patients. </w:t>
      </w:r>
      <w:r w:rsidRPr="008242E7">
        <w:rPr>
          <w:i/>
          <w:color w:val="222222"/>
          <w:highlight w:val="white"/>
        </w:rPr>
        <w:t>Singapore medical journal</w:t>
      </w:r>
      <w:r w:rsidRPr="008242E7">
        <w:rPr>
          <w:color w:val="222222"/>
          <w:highlight w:val="white"/>
        </w:rPr>
        <w:t xml:space="preserve">, </w:t>
      </w:r>
      <w:r w:rsidRPr="008242E7">
        <w:rPr>
          <w:i/>
          <w:color w:val="222222"/>
          <w:highlight w:val="white"/>
        </w:rPr>
        <w:t>50</w:t>
      </w:r>
      <w:r w:rsidRPr="008242E7">
        <w:rPr>
          <w:color w:val="222222"/>
          <w:highlight w:val="white"/>
        </w:rPr>
        <w:t>(2), 185.</w:t>
      </w:r>
    </w:p>
    <w:p w14:paraId="375C9AB7" w14:textId="77777777" w:rsidR="003720EF" w:rsidRPr="008242E7" w:rsidRDefault="003720EF">
      <w:pPr>
        <w:rPr>
          <w:color w:val="222222"/>
          <w:highlight w:val="white"/>
        </w:rPr>
      </w:pPr>
    </w:p>
    <w:p w14:paraId="76A83252" w14:textId="77777777" w:rsidR="003720EF" w:rsidRPr="008242E7" w:rsidRDefault="00D76087">
      <w:pPr>
        <w:rPr>
          <w:color w:val="222222"/>
          <w:highlight w:val="white"/>
        </w:rPr>
      </w:pPr>
      <w:r w:rsidRPr="008242E7">
        <w:rPr>
          <w:color w:val="222222"/>
          <w:highlight w:val="white"/>
        </w:rPr>
        <w:t xml:space="preserve">Ofsthun, N., Labrecque, J., Lacson, E., Keen, M., &amp; Lazarus, J. M. (2003). The effects of higher hemoglobin levels on mortality and hospitalization in HD patients. </w:t>
      </w:r>
      <w:r w:rsidRPr="008242E7">
        <w:rPr>
          <w:i/>
          <w:color w:val="222222"/>
          <w:highlight w:val="white"/>
        </w:rPr>
        <w:t>Kidney international</w:t>
      </w:r>
      <w:r w:rsidRPr="008242E7">
        <w:rPr>
          <w:color w:val="222222"/>
          <w:highlight w:val="white"/>
        </w:rPr>
        <w:t xml:space="preserve">, </w:t>
      </w:r>
      <w:r w:rsidRPr="008242E7">
        <w:rPr>
          <w:i/>
          <w:color w:val="222222"/>
          <w:highlight w:val="white"/>
        </w:rPr>
        <w:t>63</w:t>
      </w:r>
      <w:r w:rsidRPr="008242E7">
        <w:rPr>
          <w:color w:val="222222"/>
          <w:highlight w:val="white"/>
        </w:rPr>
        <w:t>(5), 1908-1914.</w:t>
      </w:r>
    </w:p>
    <w:p w14:paraId="2D9F7DCF" w14:textId="77777777" w:rsidR="003720EF" w:rsidRPr="008242E7" w:rsidRDefault="003720EF">
      <w:pPr>
        <w:rPr>
          <w:color w:val="222222"/>
          <w:highlight w:val="white"/>
        </w:rPr>
      </w:pPr>
    </w:p>
    <w:p w14:paraId="5AAA3827" w14:textId="77777777" w:rsidR="003720EF" w:rsidRPr="008242E7" w:rsidRDefault="00D76087">
      <w:pPr>
        <w:rPr>
          <w:color w:val="222222"/>
          <w:highlight w:val="white"/>
        </w:rPr>
      </w:pPr>
      <w:r w:rsidRPr="008242E7">
        <w:t xml:space="preserve">Ritz E, Rychlik I, Locatelli F, Halimi S. End-stage renal failure in type 2 diabetes: A medical catastrophe of worldwide dimensions. Am J Kidney Dis. </w:t>
      </w:r>
      <w:proofErr w:type="gramStart"/>
      <w:r w:rsidRPr="008242E7">
        <w:t>1999;34:795</w:t>
      </w:r>
      <w:proofErr w:type="gramEnd"/>
      <w:r w:rsidRPr="008242E7">
        <w:t>–808.</w:t>
      </w:r>
    </w:p>
    <w:p w14:paraId="4F3914B9" w14:textId="77777777" w:rsidR="003720EF" w:rsidRPr="008242E7" w:rsidRDefault="003720EF">
      <w:pPr>
        <w:rPr>
          <w:color w:val="222222"/>
          <w:highlight w:val="white"/>
        </w:rPr>
      </w:pPr>
    </w:p>
    <w:p w14:paraId="5BDCCDE7" w14:textId="77777777" w:rsidR="003720EF" w:rsidRPr="008242E7" w:rsidRDefault="00D76087">
      <w:pPr>
        <w:rPr>
          <w:color w:val="222222"/>
          <w:highlight w:val="white"/>
        </w:rPr>
      </w:pPr>
      <w:r w:rsidRPr="008242E7">
        <w:rPr>
          <w:color w:val="222222"/>
          <w:highlight w:val="white"/>
        </w:rPr>
        <w:t xml:space="preserve">Sloan, C. E., Coffman, C. J., Sanders, L. L., Maciejewski, M. L., Lee, S. Y. D., Hirth, R. A., &amp; Wang, V. (2019). Trends in PD use in the United States after Medicare payment reform. </w:t>
      </w:r>
      <w:r w:rsidRPr="008242E7">
        <w:rPr>
          <w:i/>
          <w:color w:val="222222"/>
          <w:highlight w:val="white"/>
        </w:rPr>
        <w:t>Clinical Journal of the American Society of Nephrology</w:t>
      </w:r>
      <w:r w:rsidRPr="008242E7">
        <w:rPr>
          <w:color w:val="222222"/>
          <w:highlight w:val="white"/>
        </w:rPr>
        <w:t xml:space="preserve">, </w:t>
      </w:r>
      <w:r w:rsidRPr="008242E7">
        <w:rPr>
          <w:i/>
          <w:color w:val="222222"/>
          <w:highlight w:val="white"/>
        </w:rPr>
        <w:t>14</w:t>
      </w:r>
      <w:r w:rsidRPr="008242E7">
        <w:rPr>
          <w:color w:val="222222"/>
          <w:highlight w:val="white"/>
        </w:rPr>
        <w:t>(12), 1763-1772.</w:t>
      </w:r>
    </w:p>
    <w:p w14:paraId="40D408CF" w14:textId="77777777" w:rsidR="003720EF" w:rsidRPr="008242E7" w:rsidRDefault="003720EF">
      <w:pPr>
        <w:rPr>
          <w:color w:val="222222"/>
          <w:highlight w:val="white"/>
        </w:rPr>
      </w:pPr>
    </w:p>
    <w:p w14:paraId="2162CAA3" w14:textId="77777777" w:rsidR="003720EF" w:rsidRPr="008242E7" w:rsidRDefault="00D76087">
      <w:pPr>
        <w:rPr>
          <w:color w:val="222222"/>
          <w:highlight w:val="white"/>
        </w:rPr>
      </w:pPr>
      <w:r w:rsidRPr="008242E7">
        <w:rPr>
          <w:color w:val="222222"/>
          <w:highlight w:val="white"/>
        </w:rPr>
        <w:t xml:space="preserve">Sukul, N., Zhao, J., Fuller, D. S., </w:t>
      </w:r>
      <w:proofErr w:type="spellStart"/>
      <w:r w:rsidRPr="008242E7">
        <w:rPr>
          <w:color w:val="222222"/>
          <w:highlight w:val="white"/>
        </w:rPr>
        <w:t>Karaboyas</w:t>
      </w:r>
      <w:proofErr w:type="spellEnd"/>
      <w:r w:rsidRPr="008242E7">
        <w:rPr>
          <w:color w:val="222222"/>
          <w:highlight w:val="white"/>
        </w:rPr>
        <w:t xml:space="preserve">, A., Bieber, B., Sloand, J. A., ... &amp; Perl, J. (2019). Patient-reported advantages and disadvantages of PD: results from the PDOPPS. </w:t>
      </w:r>
      <w:r w:rsidRPr="008242E7">
        <w:rPr>
          <w:i/>
          <w:color w:val="222222"/>
          <w:highlight w:val="white"/>
        </w:rPr>
        <w:t>BMC nephrology</w:t>
      </w:r>
      <w:r w:rsidRPr="008242E7">
        <w:rPr>
          <w:color w:val="222222"/>
          <w:highlight w:val="white"/>
        </w:rPr>
        <w:t xml:space="preserve">, </w:t>
      </w:r>
      <w:r w:rsidRPr="008242E7">
        <w:rPr>
          <w:i/>
          <w:color w:val="222222"/>
          <w:highlight w:val="white"/>
        </w:rPr>
        <w:t>20</w:t>
      </w:r>
      <w:r w:rsidRPr="008242E7">
        <w:rPr>
          <w:color w:val="222222"/>
          <w:highlight w:val="white"/>
        </w:rPr>
        <w:t>(1), 1-10.</w:t>
      </w:r>
    </w:p>
    <w:p w14:paraId="66049618" w14:textId="77777777" w:rsidR="003720EF" w:rsidRPr="008242E7" w:rsidRDefault="003720EF">
      <w:pPr>
        <w:rPr>
          <w:color w:val="222222"/>
          <w:highlight w:val="white"/>
        </w:rPr>
      </w:pPr>
    </w:p>
    <w:p w14:paraId="58FF107A" w14:textId="77777777" w:rsidR="003720EF" w:rsidRPr="008242E7" w:rsidRDefault="00D76087">
      <w:pPr>
        <w:rPr>
          <w:color w:val="222222"/>
          <w:highlight w:val="white"/>
        </w:rPr>
      </w:pPr>
      <w:r w:rsidRPr="008242E7">
        <w:rPr>
          <w:color w:val="222222"/>
          <w:highlight w:val="white"/>
        </w:rPr>
        <w:t xml:space="preserve">Turenne, M., Baker, R., Pearson, J., Cogan, C., Mukhopadhyay, P., &amp; Cope, E. (2018). Payment reform and health disparities: Changes in dialysis modality under the new </w:t>
      </w:r>
      <w:proofErr w:type="spellStart"/>
      <w:r w:rsidRPr="008242E7">
        <w:rPr>
          <w:color w:val="222222"/>
          <w:highlight w:val="white"/>
        </w:rPr>
        <w:t>medicare</w:t>
      </w:r>
      <w:proofErr w:type="spellEnd"/>
      <w:r w:rsidRPr="008242E7">
        <w:rPr>
          <w:color w:val="222222"/>
          <w:highlight w:val="white"/>
        </w:rPr>
        <w:t xml:space="preserve"> dialysis payment system. </w:t>
      </w:r>
      <w:r w:rsidRPr="008242E7">
        <w:rPr>
          <w:i/>
          <w:color w:val="222222"/>
          <w:highlight w:val="white"/>
        </w:rPr>
        <w:t>Health services research</w:t>
      </w:r>
      <w:r w:rsidRPr="008242E7">
        <w:rPr>
          <w:color w:val="222222"/>
          <w:highlight w:val="white"/>
        </w:rPr>
        <w:t xml:space="preserve">, </w:t>
      </w:r>
      <w:r w:rsidRPr="008242E7">
        <w:rPr>
          <w:i/>
          <w:color w:val="222222"/>
          <w:highlight w:val="white"/>
        </w:rPr>
        <w:t>53</w:t>
      </w:r>
      <w:r w:rsidRPr="008242E7">
        <w:rPr>
          <w:color w:val="222222"/>
          <w:highlight w:val="white"/>
        </w:rPr>
        <w:t>(3), 1430-1457.</w:t>
      </w:r>
    </w:p>
    <w:p w14:paraId="4C27F887" w14:textId="77777777" w:rsidR="003720EF" w:rsidRPr="008242E7" w:rsidRDefault="003720EF">
      <w:pPr>
        <w:rPr>
          <w:color w:val="222222"/>
          <w:highlight w:val="white"/>
        </w:rPr>
      </w:pPr>
    </w:p>
    <w:p w14:paraId="34763593" w14:textId="77777777" w:rsidR="003720EF" w:rsidRPr="008242E7" w:rsidRDefault="00D76087">
      <w:pPr>
        <w:rPr>
          <w:color w:val="222222"/>
          <w:highlight w:val="white"/>
        </w:rPr>
      </w:pPr>
      <w:r w:rsidRPr="008242E7">
        <w:rPr>
          <w:color w:val="222222"/>
          <w:highlight w:val="white"/>
        </w:rPr>
        <w:t xml:space="preserve">United States Renal Disease System (USRDS) (2010). Researcher’s Guide to the USRDS Database: 2010 ADR System. </w:t>
      </w:r>
    </w:p>
    <w:p w14:paraId="35F21CC6" w14:textId="77777777" w:rsidR="003720EF" w:rsidRPr="008242E7" w:rsidRDefault="003720EF">
      <w:pPr>
        <w:rPr>
          <w:color w:val="222222"/>
          <w:highlight w:val="white"/>
        </w:rPr>
      </w:pPr>
    </w:p>
    <w:p w14:paraId="24469FA3" w14:textId="77777777" w:rsidR="003720EF" w:rsidRPr="008242E7" w:rsidRDefault="00D76087">
      <w:pPr>
        <w:rPr>
          <w:color w:val="222222"/>
          <w:highlight w:val="white"/>
        </w:rPr>
      </w:pPr>
      <w:r w:rsidRPr="008242E7">
        <w:rPr>
          <w:color w:val="222222"/>
          <w:highlight w:val="white"/>
        </w:rPr>
        <w:t xml:space="preserve">Van Biesen, W., </w:t>
      </w:r>
      <w:proofErr w:type="spellStart"/>
      <w:r w:rsidRPr="008242E7">
        <w:rPr>
          <w:color w:val="222222"/>
          <w:highlight w:val="white"/>
        </w:rPr>
        <w:t>Dequidt</w:t>
      </w:r>
      <w:proofErr w:type="spellEnd"/>
      <w:r w:rsidRPr="008242E7">
        <w:rPr>
          <w:color w:val="222222"/>
          <w:highlight w:val="white"/>
        </w:rPr>
        <w:t xml:space="preserve">, C., </w:t>
      </w:r>
      <w:proofErr w:type="spellStart"/>
      <w:r w:rsidRPr="008242E7">
        <w:rPr>
          <w:color w:val="222222"/>
          <w:highlight w:val="white"/>
        </w:rPr>
        <w:t>Vijt</w:t>
      </w:r>
      <w:proofErr w:type="spellEnd"/>
      <w:r w:rsidRPr="008242E7">
        <w:rPr>
          <w:color w:val="222222"/>
          <w:highlight w:val="white"/>
        </w:rPr>
        <w:t xml:space="preserve">, D., </w:t>
      </w:r>
      <w:proofErr w:type="spellStart"/>
      <w:r w:rsidRPr="008242E7">
        <w:rPr>
          <w:color w:val="222222"/>
          <w:highlight w:val="white"/>
        </w:rPr>
        <w:t>Vanholder</w:t>
      </w:r>
      <w:proofErr w:type="spellEnd"/>
      <w:r w:rsidRPr="008242E7">
        <w:rPr>
          <w:color w:val="222222"/>
          <w:highlight w:val="white"/>
        </w:rPr>
        <w:t xml:space="preserve">, R., &amp; </w:t>
      </w:r>
      <w:proofErr w:type="spellStart"/>
      <w:r w:rsidRPr="008242E7">
        <w:rPr>
          <w:color w:val="222222"/>
          <w:highlight w:val="white"/>
        </w:rPr>
        <w:t>Lameire</w:t>
      </w:r>
      <w:proofErr w:type="spellEnd"/>
      <w:r w:rsidRPr="008242E7">
        <w:rPr>
          <w:color w:val="222222"/>
          <w:highlight w:val="white"/>
        </w:rPr>
        <w:t xml:space="preserve">, N. (1998). Analysis of the reasons for transfers between HD and PD and their effect on survivals. </w:t>
      </w:r>
      <w:r w:rsidRPr="008242E7">
        <w:rPr>
          <w:i/>
          <w:color w:val="222222"/>
          <w:highlight w:val="white"/>
        </w:rPr>
        <w:t>Advances in PD</w:t>
      </w:r>
      <w:r w:rsidRPr="008242E7">
        <w:rPr>
          <w:color w:val="222222"/>
          <w:highlight w:val="white"/>
        </w:rPr>
        <w:t xml:space="preserve">, </w:t>
      </w:r>
      <w:r w:rsidRPr="008242E7">
        <w:rPr>
          <w:i/>
          <w:color w:val="222222"/>
          <w:highlight w:val="white"/>
        </w:rPr>
        <w:t>14</w:t>
      </w:r>
      <w:r w:rsidRPr="008242E7">
        <w:rPr>
          <w:color w:val="222222"/>
          <w:highlight w:val="white"/>
        </w:rPr>
        <w:t>, 90-94.</w:t>
      </w:r>
    </w:p>
    <w:p w14:paraId="44670389" w14:textId="77777777" w:rsidR="003720EF" w:rsidRPr="008242E7" w:rsidRDefault="003720EF">
      <w:pPr>
        <w:rPr>
          <w:color w:val="222222"/>
          <w:highlight w:val="white"/>
        </w:rPr>
      </w:pPr>
    </w:p>
    <w:p w14:paraId="3EFF7802" w14:textId="77777777" w:rsidR="003720EF" w:rsidRPr="008242E7" w:rsidRDefault="00D76087">
      <w:pPr>
        <w:rPr>
          <w:color w:val="222222"/>
          <w:highlight w:val="white"/>
        </w:rPr>
      </w:pPr>
      <w:r w:rsidRPr="008242E7">
        <w:rPr>
          <w:color w:val="222222"/>
          <w:highlight w:val="white"/>
        </w:rPr>
        <w:t xml:space="preserve">Vonesh, E. F., Snyder, J. J., Foley, R. N., &amp; Collins, A. J. (2006). Mortality studies comparing PD and HD: what do they tell </w:t>
      </w:r>
      <w:proofErr w:type="gramStart"/>
      <w:r w:rsidRPr="008242E7">
        <w:rPr>
          <w:color w:val="222222"/>
          <w:highlight w:val="white"/>
        </w:rPr>
        <w:t>us?.</w:t>
      </w:r>
      <w:proofErr w:type="gramEnd"/>
      <w:r w:rsidRPr="008242E7">
        <w:rPr>
          <w:color w:val="222222"/>
          <w:highlight w:val="white"/>
        </w:rPr>
        <w:t xml:space="preserve"> </w:t>
      </w:r>
      <w:r w:rsidRPr="008242E7">
        <w:rPr>
          <w:i/>
          <w:color w:val="222222"/>
          <w:highlight w:val="white"/>
        </w:rPr>
        <w:t>Kidney International</w:t>
      </w:r>
      <w:r w:rsidRPr="008242E7">
        <w:rPr>
          <w:color w:val="222222"/>
          <w:highlight w:val="white"/>
        </w:rPr>
        <w:t xml:space="preserve">, </w:t>
      </w:r>
      <w:r w:rsidRPr="008242E7">
        <w:rPr>
          <w:i/>
          <w:color w:val="222222"/>
          <w:highlight w:val="white"/>
        </w:rPr>
        <w:t>70</w:t>
      </w:r>
      <w:r w:rsidRPr="008242E7">
        <w:rPr>
          <w:color w:val="222222"/>
          <w:highlight w:val="white"/>
        </w:rPr>
        <w:t>, S3-S11.</w:t>
      </w:r>
    </w:p>
    <w:p w14:paraId="69ABCB60" w14:textId="77777777" w:rsidR="003720EF" w:rsidRPr="008242E7" w:rsidRDefault="003720EF">
      <w:pPr>
        <w:rPr>
          <w:color w:val="222222"/>
          <w:highlight w:val="white"/>
        </w:rPr>
      </w:pPr>
    </w:p>
    <w:p w14:paraId="7EA61C3B" w14:textId="77777777" w:rsidR="003720EF" w:rsidRPr="008242E7" w:rsidRDefault="00D76087">
      <w:pPr>
        <w:rPr>
          <w:color w:val="222222"/>
          <w:highlight w:val="white"/>
        </w:rPr>
      </w:pPr>
      <w:r w:rsidRPr="008242E7">
        <w:rPr>
          <w:color w:val="222222"/>
          <w:highlight w:val="white"/>
        </w:rPr>
        <w:t xml:space="preserve">Wang, V., Coffman, C. J., Sanders, L. L., Lee, S. Y. D., Hirth, R. A., &amp; Maciejewski, M. L. (2018). Medicare’s new prospective payment system on facility provision of PD. </w:t>
      </w:r>
      <w:r w:rsidRPr="008242E7">
        <w:rPr>
          <w:i/>
          <w:color w:val="222222"/>
          <w:highlight w:val="white"/>
        </w:rPr>
        <w:t>Clinical Journal of the American Society of Nephrology</w:t>
      </w:r>
      <w:r w:rsidRPr="008242E7">
        <w:rPr>
          <w:color w:val="222222"/>
          <w:highlight w:val="white"/>
        </w:rPr>
        <w:t xml:space="preserve">, </w:t>
      </w:r>
      <w:r w:rsidRPr="008242E7">
        <w:rPr>
          <w:i/>
          <w:color w:val="222222"/>
          <w:highlight w:val="white"/>
        </w:rPr>
        <w:t>13</w:t>
      </w:r>
      <w:r w:rsidRPr="008242E7">
        <w:rPr>
          <w:color w:val="222222"/>
          <w:highlight w:val="white"/>
        </w:rPr>
        <w:t>(12), 1833-1841.</w:t>
      </w:r>
    </w:p>
    <w:p w14:paraId="4595F506" w14:textId="77777777" w:rsidR="003720EF" w:rsidRPr="008242E7" w:rsidRDefault="003720EF">
      <w:pPr>
        <w:rPr>
          <w:color w:val="222222"/>
          <w:highlight w:val="white"/>
        </w:rPr>
      </w:pPr>
    </w:p>
    <w:p w14:paraId="24E5CF1B" w14:textId="77777777" w:rsidR="003720EF" w:rsidRPr="008242E7" w:rsidRDefault="00D76087">
      <w:pPr>
        <w:rPr>
          <w:color w:val="222222"/>
          <w:highlight w:val="white"/>
        </w:rPr>
      </w:pPr>
      <w:r w:rsidRPr="008242E7">
        <w:rPr>
          <w:color w:val="222222"/>
          <w:highlight w:val="white"/>
        </w:rPr>
        <w:t xml:space="preserve">Yang, W., Israni, R. K., Brunelli, S. M., Joffe, M. M., Fishbane, S., &amp; Feldman, H. I. (2007). Hemoglobin variability and mortality in ESRD. </w:t>
      </w:r>
      <w:r w:rsidRPr="008242E7">
        <w:rPr>
          <w:i/>
          <w:color w:val="222222"/>
          <w:highlight w:val="white"/>
        </w:rPr>
        <w:t>Journal of the American Society of Nephrology</w:t>
      </w:r>
      <w:r w:rsidRPr="008242E7">
        <w:rPr>
          <w:color w:val="222222"/>
          <w:highlight w:val="white"/>
        </w:rPr>
        <w:t xml:space="preserve">, </w:t>
      </w:r>
      <w:r w:rsidRPr="008242E7">
        <w:rPr>
          <w:i/>
          <w:color w:val="222222"/>
          <w:highlight w:val="white"/>
        </w:rPr>
        <w:t>18</w:t>
      </w:r>
      <w:r w:rsidRPr="008242E7">
        <w:rPr>
          <w:color w:val="222222"/>
          <w:highlight w:val="white"/>
        </w:rPr>
        <w:t>(12), 3164-3170.</w:t>
      </w:r>
    </w:p>
    <w:p w14:paraId="1F47162D" w14:textId="77777777" w:rsidR="003720EF" w:rsidRPr="008242E7" w:rsidRDefault="003720EF">
      <w:pPr>
        <w:rPr>
          <w:color w:val="222222"/>
          <w:highlight w:val="white"/>
        </w:rPr>
      </w:pPr>
    </w:p>
    <w:p w14:paraId="052A8E40" w14:textId="77777777" w:rsidR="003720EF" w:rsidRPr="008242E7" w:rsidRDefault="00D76087">
      <w:pPr>
        <w:rPr>
          <w:color w:val="222222"/>
          <w:highlight w:val="white"/>
        </w:rPr>
      </w:pPr>
      <w:r w:rsidRPr="008242E7">
        <w:rPr>
          <w:color w:val="222222"/>
          <w:highlight w:val="white"/>
        </w:rPr>
        <w:t xml:space="preserve">Zee, J., Zhao, J., Subramanian, L., Perry, E., Bryant, N., McCall, M., ... &amp; </w:t>
      </w:r>
      <w:proofErr w:type="spellStart"/>
      <w:r w:rsidRPr="008242E7">
        <w:rPr>
          <w:color w:val="222222"/>
          <w:highlight w:val="white"/>
        </w:rPr>
        <w:t>Tentori</w:t>
      </w:r>
      <w:proofErr w:type="spellEnd"/>
      <w:r w:rsidRPr="008242E7">
        <w:rPr>
          <w:color w:val="222222"/>
          <w:highlight w:val="white"/>
        </w:rPr>
        <w:t xml:space="preserve">, F. (2018). Perceptions about the dialysis modality decision process among PD and in-center HD patients. </w:t>
      </w:r>
      <w:r w:rsidRPr="008242E7">
        <w:rPr>
          <w:i/>
          <w:color w:val="222222"/>
          <w:highlight w:val="white"/>
        </w:rPr>
        <w:t>BMC nephrology</w:t>
      </w:r>
      <w:r w:rsidRPr="008242E7">
        <w:rPr>
          <w:color w:val="222222"/>
          <w:highlight w:val="white"/>
        </w:rPr>
        <w:t xml:space="preserve">, </w:t>
      </w:r>
      <w:r w:rsidRPr="008242E7">
        <w:rPr>
          <w:i/>
          <w:color w:val="222222"/>
          <w:highlight w:val="white"/>
        </w:rPr>
        <w:t>19</w:t>
      </w:r>
      <w:r w:rsidRPr="008242E7">
        <w:rPr>
          <w:color w:val="222222"/>
          <w:highlight w:val="white"/>
        </w:rPr>
        <w:t>(1), 1-10.</w:t>
      </w:r>
    </w:p>
    <w:p w14:paraId="4C9FCED1" w14:textId="77777777" w:rsidR="003720EF" w:rsidRPr="008242E7" w:rsidRDefault="003720EF">
      <w:pPr>
        <w:rPr>
          <w:color w:val="222222"/>
          <w:highlight w:val="white"/>
        </w:rPr>
      </w:pPr>
    </w:p>
    <w:p w14:paraId="29CE1027" w14:textId="77777777" w:rsidR="003720EF" w:rsidRPr="008242E7" w:rsidRDefault="00D76087">
      <w:pPr>
        <w:rPr>
          <w:color w:val="222222"/>
          <w:highlight w:val="white"/>
        </w:rPr>
      </w:pPr>
      <w:r w:rsidRPr="008242E7">
        <w:rPr>
          <w:color w:val="222222"/>
          <w:highlight w:val="white"/>
        </w:rPr>
        <w:t xml:space="preserve">Zhang, X., Han, F., He, Q., Huang, H., Yin, X., Ge, J., &amp; Chen, J. (2008). Outcomes and risk factors for mortality after transfer from HD to PD in uremic patients. </w:t>
      </w:r>
      <w:r w:rsidRPr="008242E7">
        <w:rPr>
          <w:i/>
          <w:color w:val="222222"/>
          <w:highlight w:val="white"/>
        </w:rPr>
        <w:t>PD International</w:t>
      </w:r>
      <w:r w:rsidRPr="008242E7">
        <w:rPr>
          <w:color w:val="222222"/>
          <w:highlight w:val="white"/>
        </w:rPr>
        <w:t xml:space="preserve">, </w:t>
      </w:r>
      <w:r w:rsidRPr="008242E7">
        <w:rPr>
          <w:i/>
          <w:color w:val="222222"/>
          <w:highlight w:val="white"/>
        </w:rPr>
        <w:t>28</w:t>
      </w:r>
      <w:r w:rsidRPr="008242E7">
        <w:rPr>
          <w:color w:val="222222"/>
          <w:highlight w:val="white"/>
        </w:rPr>
        <w:t>(3), 313-314.</w:t>
      </w:r>
    </w:p>
    <w:p w14:paraId="614E750B" w14:textId="77777777" w:rsidR="003720EF" w:rsidRPr="008242E7" w:rsidRDefault="003720EF">
      <w:pPr>
        <w:rPr>
          <w:color w:val="222222"/>
          <w:highlight w:val="white"/>
        </w:rPr>
      </w:pPr>
    </w:p>
    <w:p w14:paraId="19ED0EC6" w14:textId="77777777" w:rsidR="003720EF" w:rsidRPr="008242E7" w:rsidRDefault="003720EF">
      <w:pPr>
        <w:rPr>
          <w:color w:val="222222"/>
          <w:highlight w:val="white"/>
        </w:rPr>
      </w:pPr>
    </w:p>
    <w:sectPr w:rsidR="003720EF" w:rsidRPr="008242E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FE2A2" w14:textId="77777777" w:rsidR="00E34F0F" w:rsidRDefault="00E34F0F">
      <w:pPr>
        <w:spacing w:line="240" w:lineRule="auto"/>
      </w:pPr>
      <w:r>
        <w:separator/>
      </w:r>
    </w:p>
  </w:endnote>
  <w:endnote w:type="continuationSeparator" w:id="0">
    <w:p w14:paraId="4B558C2C" w14:textId="77777777" w:rsidR="00E34F0F" w:rsidRDefault="00E34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80663" w14:textId="77777777" w:rsidR="00E34F0F" w:rsidRDefault="00E34F0F">
      <w:pPr>
        <w:spacing w:line="240" w:lineRule="auto"/>
      </w:pPr>
      <w:r>
        <w:separator/>
      </w:r>
    </w:p>
  </w:footnote>
  <w:footnote w:type="continuationSeparator" w:id="0">
    <w:p w14:paraId="7648A26E" w14:textId="77777777" w:rsidR="00E34F0F" w:rsidRDefault="00E34F0F">
      <w:pPr>
        <w:spacing w:line="240" w:lineRule="auto"/>
      </w:pPr>
      <w:r>
        <w:continuationSeparator/>
      </w:r>
    </w:p>
  </w:footnote>
  <w:footnote w:id="1">
    <w:p w14:paraId="1F80BA06" w14:textId="77777777" w:rsidR="003720EF" w:rsidRDefault="00D76087">
      <w:pPr>
        <w:spacing w:line="240" w:lineRule="auto"/>
        <w:rPr>
          <w:sz w:val="20"/>
          <w:szCs w:val="20"/>
        </w:rPr>
      </w:pPr>
      <w:r>
        <w:rPr>
          <w:vertAlign w:val="superscript"/>
        </w:rPr>
        <w:footnoteRef/>
      </w:r>
      <w:r>
        <w:rPr>
          <w:sz w:val="20"/>
          <w:szCs w:val="20"/>
        </w:rPr>
        <w:t xml:space="preserve"> Note that this is not the final sample size; this reflects the sample size before individuals whose death date was more than six months from their last modality claim information were removed.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10C76" w14:textId="724AC871" w:rsidR="00257587" w:rsidRPr="00257587" w:rsidRDefault="00257587" w:rsidP="00257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D0F"/>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D7C11"/>
    <w:multiLevelType w:val="multilevel"/>
    <w:tmpl w:val="EAC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57E9E"/>
    <w:multiLevelType w:val="hybridMultilevel"/>
    <w:tmpl w:val="63EA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A2A43"/>
    <w:multiLevelType w:val="multilevel"/>
    <w:tmpl w:val="FEA488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09483CEB"/>
    <w:multiLevelType w:val="multilevel"/>
    <w:tmpl w:val="819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5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D73C56"/>
    <w:multiLevelType w:val="multilevel"/>
    <w:tmpl w:val="D682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5CEE"/>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2753580"/>
    <w:multiLevelType w:val="multilevel"/>
    <w:tmpl w:val="57221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298778D"/>
    <w:multiLevelType w:val="hybridMultilevel"/>
    <w:tmpl w:val="7EE6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C3D36"/>
    <w:multiLevelType w:val="multilevel"/>
    <w:tmpl w:val="1E16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E34FB"/>
    <w:multiLevelType w:val="hybridMultilevel"/>
    <w:tmpl w:val="0376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D31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DBA1A54"/>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31410F"/>
    <w:multiLevelType w:val="hybridMultilevel"/>
    <w:tmpl w:val="4790F42E"/>
    <w:lvl w:ilvl="0" w:tplc="650043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F9978AE"/>
    <w:multiLevelType w:val="multilevel"/>
    <w:tmpl w:val="57221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19F771B"/>
    <w:multiLevelType w:val="multilevel"/>
    <w:tmpl w:val="3A1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1132E"/>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6C591F"/>
    <w:multiLevelType w:val="hybridMultilevel"/>
    <w:tmpl w:val="DC3C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78DB"/>
    <w:multiLevelType w:val="hybridMultilevel"/>
    <w:tmpl w:val="A936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0325C"/>
    <w:multiLevelType w:val="multilevel"/>
    <w:tmpl w:val="4A725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2F472D6"/>
    <w:multiLevelType w:val="multilevel"/>
    <w:tmpl w:val="9912B0F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7C8230B"/>
    <w:multiLevelType w:val="multilevel"/>
    <w:tmpl w:val="11544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A2A247D"/>
    <w:multiLevelType w:val="hybridMultilevel"/>
    <w:tmpl w:val="26A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009DA"/>
    <w:multiLevelType w:val="hybridMultilevel"/>
    <w:tmpl w:val="43DE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B4F2F"/>
    <w:multiLevelType w:val="hybridMultilevel"/>
    <w:tmpl w:val="53F66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A184B"/>
    <w:multiLevelType w:val="multilevel"/>
    <w:tmpl w:val="708E6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EA4FF9"/>
    <w:multiLevelType w:val="hybridMultilevel"/>
    <w:tmpl w:val="967C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207B5"/>
    <w:multiLevelType w:val="multilevel"/>
    <w:tmpl w:val="D8249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254F9E"/>
    <w:multiLevelType w:val="multilevel"/>
    <w:tmpl w:val="2A30B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7E1428"/>
    <w:multiLevelType w:val="multilevel"/>
    <w:tmpl w:val="0050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A366A"/>
    <w:multiLevelType w:val="hybridMultilevel"/>
    <w:tmpl w:val="940A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F44B47"/>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99D207F"/>
    <w:multiLevelType w:val="multilevel"/>
    <w:tmpl w:val="CC4E63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B7B39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97644D"/>
    <w:multiLevelType w:val="multilevel"/>
    <w:tmpl w:val="343C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E303E"/>
    <w:multiLevelType w:val="hybridMultilevel"/>
    <w:tmpl w:val="F816E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8C32A0"/>
    <w:multiLevelType w:val="hybridMultilevel"/>
    <w:tmpl w:val="18B0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216D4A"/>
    <w:multiLevelType w:val="multilevel"/>
    <w:tmpl w:val="1098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84B26"/>
    <w:multiLevelType w:val="hybridMultilevel"/>
    <w:tmpl w:val="6E3A367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15:restartNumberingAfterBreak="0">
    <w:nsid w:val="69A94DFA"/>
    <w:multiLevelType w:val="multilevel"/>
    <w:tmpl w:val="57221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F107AB4"/>
    <w:multiLevelType w:val="multilevel"/>
    <w:tmpl w:val="54AE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DB5B9D"/>
    <w:multiLevelType w:val="hybridMultilevel"/>
    <w:tmpl w:val="B21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B1B2D"/>
    <w:multiLevelType w:val="hybridMultilevel"/>
    <w:tmpl w:val="D556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C6BE8"/>
    <w:multiLevelType w:val="multilevel"/>
    <w:tmpl w:val="DAB6F9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70B2A75"/>
    <w:multiLevelType w:val="hybridMultilevel"/>
    <w:tmpl w:val="476C4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864326"/>
    <w:multiLevelType w:val="multilevel"/>
    <w:tmpl w:val="A62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A2FEA"/>
    <w:multiLevelType w:val="multilevel"/>
    <w:tmpl w:val="572215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F953C98"/>
    <w:multiLevelType w:val="multilevel"/>
    <w:tmpl w:val="BE04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7563">
    <w:abstractNumId w:val="17"/>
  </w:num>
  <w:num w:numId="2" w16cid:durableId="92097217">
    <w:abstractNumId w:val="33"/>
  </w:num>
  <w:num w:numId="3" w16cid:durableId="535239444">
    <w:abstractNumId w:val="3"/>
  </w:num>
  <w:num w:numId="4" w16cid:durableId="909274388">
    <w:abstractNumId w:val="8"/>
  </w:num>
  <w:num w:numId="5" w16cid:durableId="1699576434">
    <w:abstractNumId w:val="20"/>
  </w:num>
  <w:num w:numId="6" w16cid:durableId="1517575777">
    <w:abstractNumId w:val="26"/>
  </w:num>
  <w:num w:numId="7" w16cid:durableId="924532228">
    <w:abstractNumId w:val="22"/>
  </w:num>
  <w:num w:numId="8" w16cid:durableId="1217208411">
    <w:abstractNumId w:val="28"/>
  </w:num>
  <w:num w:numId="9" w16cid:durableId="926495260">
    <w:abstractNumId w:val="29"/>
  </w:num>
  <w:num w:numId="10" w16cid:durableId="1047224038">
    <w:abstractNumId w:val="21"/>
  </w:num>
  <w:num w:numId="11" w16cid:durableId="2105107050">
    <w:abstractNumId w:val="27"/>
  </w:num>
  <w:num w:numId="12" w16cid:durableId="330106660">
    <w:abstractNumId w:val="18"/>
  </w:num>
  <w:num w:numId="13" w16cid:durableId="1375427520">
    <w:abstractNumId w:val="45"/>
  </w:num>
  <w:num w:numId="14" w16cid:durableId="913396265">
    <w:abstractNumId w:val="23"/>
  </w:num>
  <w:num w:numId="15" w16cid:durableId="1691837511">
    <w:abstractNumId w:val="19"/>
  </w:num>
  <w:num w:numId="16" w16cid:durableId="703289263">
    <w:abstractNumId w:val="9"/>
  </w:num>
  <w:num w:numId="17" w16cid:durableId="1713384439">
    <w:abstractNumId w:val="40"/>
  </w:num>
  <w:num w:numId="18" w16cid:durableId="768619663">
    <w:abstractNumId w:val="15"/>
  </w:num>
  <w:num w:numId="19" w16cid:durableId="2109079727">
    <w:abstractNumId w:val="39"/>
  </w:num>
  <w:num w:numId="20" w16cid:durableId="1584028710">
    <w:abstractNumId w:val="37"/>
  </w:num>
  <w:num w:numId="21" w16cid:durableId="1314524790">
    <w:abstractNumId w:val="43"/>
  </w:num>
  <w:num w:numId="22" w16cid:durableId="1214538678">
    <w:abstractNumId w:val="7"/>
  </w:num>
  <w:num w:numId="23" w16cid:durableId="966352281">
    <w:abstractNumId w:val="44"/>
  </w:num>
  <w:num w:numId="24" w16cid:durableId="1577936776">
    <w:abstractNumId w:val="11"/>
  </w:num>
  <w:num w:numId="25" w16cid:durableId="1952661805">
    <w:abstractNumId w:val="13"/>
  </w:num>
  <w:num w:numId="26" w16cid:durableId="1116172363">
    <w:abstractNumId w:val="14"/>
  </w:num>
  <w:num w:numId="27" w16cid:durableId="1611012127">
    <w:abstractNumId w:val="0"/>
  </w:num>
  <w:num w:numId="28" w16cid:durableId="367341527">
    <w:abstractNumId w:val="47"/>
  </w:num>
  <w:num w:numId="29" w16cid:durableId="357632307">
    <w:abstractNumId w:val="5"/>
  </w:num>
  <w:num w:numId="30" w16cid:durableId="845364783">
    <w:abstractNumId w:val="34"/>
  </w:num>
  <w:num w:numId="31" w16cid:durableId="110394581">
    <w:abstractNumId w:val="32"/>
  </w:num>
  <w:num w:numId="32" w16cid:durableId="1871186557">
    <w:abstractNumId w:val="12"/>
  </w:num>
  <w:num w:numId="33" w16cid:durableId="2097363233">
    <w:abstractNumId w:val="42"/>
  </w:num>
  <w:num w:numId="34" w16cid:durableId="1180049154">
    <w:abstractNumId w:val="24"/>
  </w:num>
  <w:num w:numId="35" w16cid:durableId="1087457903">
    <w:abstractNumId w:val="31"/>
  </w:num>
  <w:num w:numId="36" w16cid:durableId="1406148649">
    <w:abstractNumId w:val="2"/>
  </w:num>
  <w:num w:numId="37" w16cid:durableId="1660425323">
    <w:abstractNumId w:val="6"/>
  </w:num>
  <w:num w:numId="38" w16cid:durableId="1114788731">
    <w:abstractNumId w:val="4"/>
  </w:num>
  <w:num w:numId="39" w16cid:durableId="283465773">
    <w:abstractNumId w:val="46"/>
  </w:num>
  <w:num w:numId="40" w16cid:durableId="1687248531">
    <w:abstractNumId w:val="48"/>
  </w:num>
  <w:num w:numId="41" w16cid:durableId="415440031">
    <w:abstractNumId w:val="30"/>
  </w:num>
  <w:num w:numId="42" w16cid:durableId="764421542">
    <w:abstractNumId w:val="1"/>
  </w:num>
  <w:num w:numId="43" w16cid:durableId="595140579">
    <w:abstractNumId w:val="38"/>
  </w:num>
  <w:num w:numId="44" w16cid:durableId="1409418536">
    <w:abstractNumId w:val="41"/>
  </w:num>
  <w:num w:numId="45" w16cid:durableId="604658980">
    <w:abstractNumId w:val="10"/>
  </w:num>
  <w:num w:numId="46" w16cid:durableId="1419712055">
    <w:abstractNumId w:val="16"/>
  </w:num>
  <w:num w:numId="47" w16cid:durableId="1002782717">
    <w:abstractNumId w:val="35"/>
  </w:num>
  <w:num w:numId="48" w16cid:durableId="1314070089">
    <w:abstractNumId w:val="36"/>
  </w:num>
  <w:num w:numId="49" w16cid:durableId="9542132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0EF"/>
    <w:rsid w:val="0001590C"/>
    <w:rsid w:val="00041947"/>
    <w:rsid w:val="0008170F"/>
    <w:rsid w:val="000F00CA"/>
    <w:rsid w:val="00163635"/>
    <w:rsid w:val="0017175B"/>
    <w:rsid w:val="001912E9"/>
    <w:rsid w:val="00192F39"/>
    <w:rsid w:val="00257587"/>
    <w:rsid w:val="002818BA"/>
    <w:rsid w:val="002A277D"/>
    <w:rsid w:val="00315950"/>
    <w:rsid w:val="00322304"/>
    <w:rsid w:val="00371C37"/>
    <w:rsid w:val="003720EF"/>
    <w:rsid w:val="00382112"/>
    <w:rsid w:val="0048080E"/>
    <w:rsid w:val="005665A1"/>
    <w:rsid w:val="005B50BD"/>
    <w:rsid w:val="006E20B4"/>
    <w:rsid w:val="006F3839"/>
    <w:rsid w:val="007A315C"/>
    <w:rsid w:val="008242E7"/>
    <w:rsid w:val="008C7E1D"/>
    <w:rsid w:val="008D7C69"/>
    <w:rsid w:val="00912937"/>
    <w:rsid w:val="00BA4CF6"/>
    <w:rsid w:val="00CD66EE"/>
    <w:rsid w:val="00D6222D"/>
    <w:rsid w:val="00D76087"/>
    <w:rsid w:val="00D7633B"/>
    <w:rsid w:val="00DC1FF4"/>
    <w:rsid w:val="00E34F0F"/>
    <w:rsid w:val="00E50DF8"/>
    <w:rsid w:val="00E552DA"/>
    <w:rsid w:val="00E7637D"/>
    <w:rsid w:val="00EF34A0"/>
    <w:rsid w:val="00F461B2"/>
    <w:rsid w:val="00F50A40"/>
    <w:rsid w:val="00F834F6"/>
    <w:rsid w:val="00FB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B2F6"/>
  <w15:docId w15:val="{AF1DC1D7-2912-4B16-89A3-E130703D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7C69"/>
    <w:pPr>
      <w:tabs>
        <w:tab w:val="center" w:pos="4680"/>
        <w:tab w:val="right" w:pos="9360"/>
      </w:tabs>
      <w:spacing w:line="240" w:lineRule="auto"/>
    </w:pPr>
  </w:style>
  <w:style w:type="character" w:customStyle="1" w:styleId="HeaderChar">
    <w:name w:val="Header Char"/>
    <w:basedOn w:val="DefaultParagraphFont"/>
    <w:link w:val="Header"/>
    <w:uiPriority w:val="99"/>
    <w:rsid w:val="008D7C69"/>
  </w:style>
  <w:style w:type="paragraph" w:styleId="Footer">
    <w:name w:val="footer"/>
    <w:basedOn w:val="Normal"/>
    <w:link w:val="FooterChar"/>
    <w:uiPriority w:val="99"/>
    <w:unhideWhenUsed/>
    <w:rsid w:val="008D7C69"/>
    <w:pPr>
      <w:tabs>
        <w:tab w:val="center" w:pos="4680"/>
        <w:tab w:val="right" w:pos="9360"/>
      </w:tabs>
      <w:spacing w:line="240" w:lineRule="auto"/>
    </w:pPr>
  </w:style>
  <w:style w:type="character" w:customStyle="1" w:styleId="FooterChar">
    <w:name w:val="Footer Char"/>
    <w:basedOn w:val="DefaultParagraphFont"/>
    <w:link w:val="Footer"/>
    <w:uiPriority w:val="99"/>
    <w:rsid w:val="008D7C69"/>
  </w:style>
  <w:style w:type="paragraph" w:styleId="ListParagraph">
    <w:name w:val="List Paragraph"/>
    <w:basedOn w:val="Normal"/>
    <w:uiPriority w:val="34"/>
    <w:qFormat/>
    <w:rsid w:val="005B50BD"/>
    <w:pPr>
      <w:ind w:left="720"/>
      <w:contextualSpacing/>
    </w:pPr>
  </w:style>
  <w:style w:type="paragraph" w:styleId="NoSpacing">
    <w:name w:val="No Spacing"/>
    <w:uiPriority w:val="1"/>
    <w:qFormat/>
    <w:rsid w:val="00E7637D"/>
    <w:pPr>
      <w:spacing w:line="240" w:lineRule="auto"/>
    </w:pPr>
  </w:style>
  <w:style w:type="paragraph" w:styleId="NormalWeb">
    <w:name w:val="Normal (Web)"/>
    <w:basedOn w:val="Normal"/>
    <w:uiPriority w:val="99"/>
    <w:semiHidden/>
    <w:unhideWhenUsed/>
    <w:rsid w:val="00D763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0830">
      <w:bodyDiv w:val="1"/>
      <w:marLeft w:val="0"/>
      <w:marRight w:val="0"/>
      <w:marTop w:val="0"/>
      <w:marBottom w:val="0"/>
      <w:divBdr>
        <w:top w:val="none" w:sz="0" w:space="0" w:color="auto"/>
        <w:left w:val="none" w:sz="0" w:space="0" w:color="auto"/>
        <w:bottom w:val="none" w:sz="0" w:space="0" w:color="auto"/>
        <w:right w:val="none" w:sz="0" w:space="0" w:color="auto"/>
      </w:divBdr>
    </w:div>
    <w:div w:id="42680946">
      <w:bodyDiv w:val="1"/>
      <w:marLeft w:val="0"/>
      <w:marRight w:val="0"/>
      <w:marTop w:val="0"/>
      <w:marBottom w:val="0"/>
      <w:divBdr>
        <w:top w:val="none" w:sz="0" w:space="0" w:color="auto"/>
        <w:left w:val="none" w:sz="0" w:space="0" w:color="auto"/>
        <w:bottom w:val="none" w:sz="0" w:space="0" w:color="auto"/>
        <w:right w:val="none" w:sz="0" w:space="0" w:color="auto"/>
      </w:divBdr>
    </w:div>
    <w:div w:id="65734984">
      <w:bodyDiv w:val="1"/>
      <w:marLeft w:val="0"/>
      <w:marRight w:val="0"/>
      <w:marTop w:val="0"/>
      <w:marBottom w:val="0"/>
      <w:divBdr>
        <w:top w:val="none" w:sz="0" w:space="0" w:color="auto"/>
        <w:left w:val="none" w:sz="0" w:space="0" w:color="auto"/>
        <w:bottom w:val="none" w:sz="0" w:space="0" w:color="auto"/>
        <w:right w:val="none" w:sz="0" w:space="0" w:color="auto"/>
      </w:divBdr>
    </w:div>
    <w:div w:id="86004234">
      <w:bodyDiv w:val="1"/>
      <w:marLeft w:val="0"/>
      <w:marRight w:val="0"/>
      <w:marTop w:val="0"/>
      <w:marBottom w:val="0"/>
      <w:divBdr>
        <w:top w:val="none" w:sz="0" w:space="0" w:color="auto"/>
        <w:left w:val="none" w:sz="0" w:space="0" w:color="auto"/>
        <w:bottom w:val="none" w:sz="0" w:space="0" w:color="auto"/>
        <w:right w:val="none" w:sz="0" w:space="0" w:color="auto"/>
      </w:divBdr>
    </w:div>
    <w:div w:id="107088873">
      <w:bodyDiv w:val="1"/>
      <w:marLeft w:val="0"/>
      <w:marRight w:val="0"/>
      <w:marTop w:val="0"/>
      <w:marBottom w:val="0"/>
      <w:divBdr>
        <w:top w:val="none" w:sz="0" w:space="0" w:color="auto"/>
        <w:left w:val="none" w:sz="0" w:space="0" w:color="auto"/>
        <w:bottom w:val="none" w:sz="0" w:space="0" w:color="auto"/>
        <w:right w:val="none" w:sz="0" w:space="0" w:color="auto"/>
      </w:divBdr>
    </w:div>
    <w:div w:id="223495779">
      <w:bodyDiv w:val="1"/>
      <w:marLeft w:val="0"/>
      <w:marRight w:val="0"/>
      <w:marTop w:val="0"/>
      <w:marBottom w:val="0"/>
      <w:divBdr>
        <w:top w:val="none" w:sz="0" w:space="0" w:color="auto"/>
        <w:left w:val="none" w:sz="0" w:space="0" w:color="auto"/>
        <w:bottom w:val="none" w:sz="0" w:space="0" w:color="auto"/>
        <w:right w:val="none" w:sz="0" w:space="0" w:color="auto"/>
      </w:divBdr>
    </w:div>
    <w:div w:id="481629352">
      <w:bodyDiv w:val="1"/>
      <w:marLeft w:val="0"/>
      <w:marRight w:val="0"/>
      <w:marTop w:val="0"/>
      <w:marBottom w:val="0"/>
      <w:divBdr>
        <w:top w:val="none" w:sz="0" w:space="0" w:color="auto"/>
        <w:left w:val="none" w:sz="0" w:space="0" w:color="auto"/>
        <w:bottom w:val="none" w:sz="0" w:space="0" w:color="auto"/>
        <w:right w:val="none" w:sz="0" w:space="0" w:color="auto"/>
      </w:divBdr>
    </w:div>
    <w:div w:id="483399355">
      <w:bodyDiv w:val="1"/>
      <w:marLeft w:val="0"/>
      <w:marRight w:val="0"/>
      <w:marTop w:val="0"/>
      <w:marBottom w:val="0"/>
      <w:divBdr>
        <w:top w:val="none" w:sz="0" w:space="0" w:color="auto"/>
        <w:left w:val="none" w:sz="0" w:space="0" w:color="auto"/>
        <w:bottom w:val="none" w:sz="0" w:space="0" w:color="auto"/>
        <w:right w:val="none" w:sz="0" w:space="0" w:color="auto"/>
      </w:divBdr>
      <w:divsChild>
        <w:div w:id="198401371">
          <w:marLeft w:val="0"/>
          <w:marRight w:val="0"/>
          <w:marTop w:val="0"/>
          <w:marBottom w:val="0"/>
          <w:divBdr>
            <w:top w:val="none" w:sz="0" w:space="0" w:color="auto"/>
            <w:left w:val="none" w:sz="0" w:space="0" w:color="auto"/>
            <w:bottom w:val="none" w:sz="0" w:space="0" w:color="auto"/>
            <w:right w:val="none" w:sz="0" w:space="0" w:color="auto"/>
          </w:divBdr>
          <w:divsChild>
            <w:div w:id="1665165406">
              <w:marLeft w:val="0"/>
              <w:marRight w:val="0"/>
              <w:marTop w:val="0"/>
              <w:marBottom w:val="0"/>
              <w:divBdr>
                <w:top w:val="none" w:sz="0" w:space="0" w:color="auto"/>
                <w:left w:val="none" w:sz="0" w:space="0" w:color="auto"/>
                <w:bottom w:val="none" w:sz="0" w:space="0" w:color="auto"/>
                <w:right w:val="none" w:sz="0" w:space="0" w:color="auto"/>
              </w:divBdr>
              <w:divsChild>
                <w:div w:id="798494043">
                  <w:marLeft w:val="0"/>
                  <w:marRight w:val="0"/>
                  <w:marTop w:val="0"/>
                  <w:marBottom w:val="0"/>
                  <w:divBdr>
                    <w:top w:val="none" w:sz="0" w:space="0" w:color="auto"/>
                    <w:left w:val="none" w:sz="0" w:space="0" w:color="auto"/>
                    <w:bottom w:val="none" w:sz="0" w:space="0" w:color="auto"/>
                    <w:right w:val="none" w:sz="0" w:space="0" w:color="auto"/>
                  </w:divBdr>
                  <w:divsChild>
                    <w:div w:id="2538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7244">
          <w:marLeft w:val="0"/>
          <w:marRight w:val="0"/>
          <w:marTop w:val="0"/>
          <w:marBottom w:val="0"/>
          <w:divBdr>
            <w:top w:val="none" w:sz="0" w:space="0" w:color="auto"/>
            <w:left w:val="none" w:sz="0" w:space="0" w:color="auto"/>
            <w:bottom w:val="none" w:sz="0" w:space="0" w:color="auto"/>
            <w:right w:val="none" w:sz="0" w:space="0" w:color="auto"/>
          </w:divBdr>
          <w:divsChild>
            <w:div w:id="1762019473">
              <w:marLeft w:val="0"/>
              <w:marRight w:val="0"/>
              <w:marTop w:val="0"/>
              <w:marBottom w:val="0"/>
              <w:divBdr>
                <w:top w:val="none" w:sz="0" w:space="0" w:color="auto"/>
                <w:left w:val="none" w:sz="0" w:space="0" w:color="auto"/>
                <w:bottom w:val="none" w:sz="0" w:space="0" w:color="auto"/>
                <w:right w:val="none" w:sz="0" w:space="0" w:color="auto"/>
              </w:divBdr>
              <w:divsChild>
                <w:div w:id="490801519">
                  <w:marLeft w:val="0"/>
                  <w:marRight w:val="0"/>
                  <w:marTop w:val="0"/>
                  <w:marBottom w:val="0"/>
                  <w:divBdr>
                    <w:top w:val="none" w:sz="0" w:space="0" w:color="auto"/>
                    <w:left w:val="none" w:sz="0" w:space="0" w:color="auto"/>
                    <w:bottom w:val="none" w:sz="0" w:space="0" w:color="auto"/>
                    <w:right w:val="none" w:sz="0" w:space="0" w:color="auto"/>
                  </w:divBdr>
                  <w:divsChild>
                    <w:div w:id="666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47099">
      <w:bodyDiv w:val="1"/>
      <w:marLeft w:val="0"/>
      <w:marRight w:val="0"/>
      <w:marTop w:val="0"/>
      <w:marBottom w:val="0"/>
      <w:divBdr>
        <w:top w:val="none" w:sz="0" w:space="0" w:color="auto"/>
        <w:left w:val="none" w:sz="0" w:space="0" w:color="auto"/>
        <w:bottom w:val="none" w:sz="0" w:space="0" w:color="auto"/>
        <w:right w:val="none" w:sz="0" w:space="0" w:color="auto"/>
      </w:divBdr>
    </w:div>
    <w:div w:id="698429657">
      <w:bodyDiv w:val="1"/>
      <w:marLeft w:val="0"/>
      <w:marRight w:val="0"/>
      <w:marTop w:val="0"/>
      <w:marBottom w:val="0"/>
      <w:divBdr>
        <w:top w:val="none" w:sz="0" w:space="0" w:color="auto"/>
        <w:left w:val="none" w:sz="0" w:space="0" w:color="auto"/>
        <w:bottom w:val="none" w:sz="0" w:space="0" w:color="auto"/>
        <w:right w:val="none" w:sz="0" w:space="0" w:color="auto"/>
      </w:divBdr>
    </w:div>
    <w:div w:id="836191162">
      <w:bodyDiv w:val="1"/>
      <w:marLeft w:val="0"/>
      <w:marRight w:val="0"/>
      <w:marTop w:val="0"/>
      <w:marBottom w:val="0"/>
      <w:divBdr>
        <w:top w:val="none" w:sz="0" w:space="0" w:color="auto"/>
        <w:left w:val="none" w:sz="0" w:space="0" w:color="auto"/>
        <w:bottom w:val="none" w:sz="0" w:space="0" w:color="auto"/>
        <w:right w:val="none" w:sz="0" w:space="0" w:color="auto"/>
      </w:divBdr>
    </w:div>
    <w:div w:id="846596748">
      <w:bodyDiv w:val="1"/>
      <w:marLeft w:val="0"/>
      <w:marRight w:val="0"/>
      <w:marTop w:val="0"/>
      <w:marBottom w:val="0"/>
      <w:divBdr>
        <w:top w:val="none" w:sz="0" w:space="0" w:color="auto"/>
        <w:left w:val="none" w:sz="0" w:space="0" w:color="auto"/>
        <w:bottom w:val="none" w:sz="0" w:space="0" w:color="auto"/>
        <w:right w:val="none" w:sz="0" w:space="0" w:color="auto"/>
      </w:divBdr>
    </w:div>
    <w:div w:id="933778541">
      <w:bodyDiv w:val="1"/>
      <w:marLeft w:val="0"/>
      <w:marRight w:val="0"/>
      <w:marTop w:val="0"/>
      <w:marBottom w:val="0"/>
      <w:divBdr>
        <w:top w:val="none" w:sz="0" w:space="0" w:color="auto"/>
        <w:left w:val="none" w:sz="0" w:space="0" w:color="auto"/>
        <w:bottom w:val="none" w:sz="0" w:space="0" w:color="auto"/>
        <w:right w:val="none" w:sz="0" w:space="0" w:color="auto"/>
      </w:divBdr>
    </w:div>
    <w:div w:id="955869102">
      <w:bodyDiv w:val="1"/>
      <w:marLeft w:val="0"/>
      <w:marRight w:val="0"/>
      <w:marTop w:val="0"/>
      <w:marBottom w:val="0"/>
      <w:divBdr>
        <w:top w:val="none" w:sz="0" w:space="0" w:color="auto"/>
        <w:left w:val="none" w:sz="0" w:space="0" w:color="auto"/>
        <w:bottom w:val="none" w:sz="0" w:space="0" w:color="auto"/>
        <w:right w:val="none" w:sz="0" w:space="0" w:color="auto"/>
      </w:divBdr>
    </w:div>
    <w:div w:id="1041635573">
      <w:bodyDiv w:val="1"/>
      <w:marLeft w:val="0"/>
      <w:marRight w:val="0"/>
      <w:marTop w:val="0"/>
      <w:marBottom w:val="0"/>
      <w:divBdr>
        <w:top w:val="none" w:sz="0" w:space="0" w:color="auto"/>
        <w:left w:val="none" w:sz="0" w:space="0" w:color="auto"/>
        <w:bottom w:val="none" w:sz="0" w:space="0" w:color="auto"/>
        <w:right w:val="none" w:sz="0" w:space="0" w:color="auto"/>
      </w:divBdr>
      <w:divsChild>
        <w:div w:id="628125027">
          <w:marLeft w:val="0"/>
          <w:marRight w:val="0"/>
          <w:marTop w:val="0"/>
          <w:marBottom w:val="0"/>
          <w:divBdr>
            <w:top w:val="none" w:sz="0" w:space="0" w:color="auto"/>
            <w:left w:val="none" w:sz="0" w:space="0" w:color="auto"/>
            <w:bottom w:val="none" w:sz="0" w:space="0" w:color="auto"/>
            <w:right w:val="none" w:sz="0" w:space="0" w:color="auto"/>
          </w:divBdr>
          <w:divsChild>
            <w:div w:id="100149282">
              <w:marLeft w:val="0"/>
              <w:marRight w:val="0"/>
              <w:marTop w:val="0"/>
              <w:marBottom w:val="0"/>
              <w:divBdr>
                <w:top w:val="none" w:sz="0" w:space="0" w:color="auto"/>
                <w:left w:val="none" w:sz="0" w:space="0" w:color="auto"/>
                <w:bottom w:val="none" w:sz="0" w:space="0" w:color="auto"/>
                <w:right w:val="none" w:sz="0" w:space="0" w:color="auto"/>
              </w:divBdr>
              <w:divsChild>
                <w:div w:id="1293631763">
                  <w:marLeft w:val="0"/>
                  <w:marRight w:val="0"/>
                  <w:marTop w:val="0"/>
                  <w:marBottom w:val="0"/>
                  <w:divBdr>
                    <w:top w:val="none" w:sz="0" w:space="0" w:color="auto"/>
                    <w:left w:val="none" w:sz="0" w:space="0" w:color="auto"/>
                    <w:bottom w:val="none" w:sz="0" w:space="0" w:color="auto"/>
                    <w:right w:val="none" w:sz="0" w:space="0" w:color="auto"/>
                  </w:divBdr>
                  <w:divsChild>
                    <w:div w:id="606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7033">
          <w:marLeft w:val="0"/>
          <w:marRight w:val="0"/>
          <w:marTop w:val="0"/>
          <w:marBottom w:val="0"/>
          <w:divBdr>
            <w:top w:val="none" w:sz="0" w:space="0" w:color="auto"/>
            <w:left w:val="none" w:sz="0" w:space="0" w:color="auto"/>
            <w:bottom w:val="none" w:sz="0" w:space="0" w:color="auto"/>
            <w:right w:val="none" w:sz="0" w:space="0" w:color="auto"/>
          </w:divBdr>
          <w:divsChild>
            <w:div w:id="544294674">
              <w:marLeft w:val="0"/>
              <w:marRight w:val="0"/>
              <w:marTop w:val="0"/>
              <w:marBottom w:val="0"/>
              <w:divBdr>
                <w:top w:val="none" w:sz="0" w:space="0" w:color="auto"/>
                <w:left w:val="none" w:sz="0" w:space="0" w:color="auto"/>
                <w:bottom w:val="none" w:sz="0" w:space="0" w:color="auto"/>
                <w:right w:val="none" w:sz="0" w:space="0" w:color="auto"/>
              </w:divBdr>
              <w:divsChild>
                <w:div w:id="2072462061">
                  <w:marLeft w:val="0"/>
                  <w:marRight w:val="0"/>
                  <w:marTop w:val="0"/>
                  <w:marBottom w:val="0"/>
                  <w:divBdr>
                    <w:top w:val="none" w:sz="0" w:space="0" w:color="auto"/>
                    <w:left w:val="none" w:sz="0" w:space="0" w:color="auto"/>
                    <w:bottom w:val="none" w:sz="0" w:space="0" w:color="auto"/>
                    <w:right w:val="none" w:sz="0" w:space="0" w:color="auto"/>
                  </w:divBdr>
                  <w:divsChild>
                    <w:div w:id="58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27779">
      <w:bodyDiv w:val="1"/>
      <w:marLeft w:val="0"/>
      <w:marRight w:val="0"/>
      <w:marTop w:val="0"/>
      <w:marBottom w:val="0"/>
      <w:divBdr>
        <w:top w:val="none" w:sz="0" w:space="0" w:color="auto"/>
        <w:left w:val="none" w:sz="0" w:space="0" w:color="auto"/>
        <w:bottom w:val="none" w:sz="0" w:space="0" w:color="auto"/>
        <w:right w:val="none" w:sz="0" w:space="0" w:color="auto"/>
      </w:divBdr>
    </w:div>
    <w:div w:id="1216550352">
      <w:bodyDiv w:val="1"/>
      <w:marLeft w:val="0"/>
      <w:marRight w:val="0"/>
      <w:marTop w:val="0"/>
      <w:marBottom w:val="0"/>
      <w:divBdr>
        <w:top w:val="none" w:sz="0" w:space="0" w:color="auto"/>
        <w:left w:val="none" w:sz="0" w:space="0" w:color="auto"/>
        <w:bottom w:val="none" w:sz="0" w:space="0" w:color="auto"/>
        <w:right w:val="none" w:sz="0" w:space="0" w:color="auto"/>
      </w:divBdr>
    </w:div>
    <w:div w:id="1226838148">
      <w:bodyDiv w:val="1"/>
      <w:marLeft w:val="0"/>
      <w:marRight w:val="0"/>
      <w:marTop w:val="0"/>
      <w:marBottom w:val="0"/>
      <w:divBdr>
        <w:top w:val="none" w:sz="0" w:space="0" w:color="auto"/>
        <w:left w:val="none" w:sz="0" w:space="0" w:color="auto"/>
        <w:bottom w:val="none" w:sz="0" w:space="0" w:color="auto"/>
        <w:right w:val="none" w:sz="0" w:space="0" w:color="auto"/>
      </w:divBdr>
    </w:div>
    <w:div w:id="1287854922">
      <w:bodyDiv w:val="1"/>
      <w:marLeft w:val="0"/>
      <w:marRight w:val="0"/>
      <w:marTop w:val="0"/>
      <w:marBottom w:val="0"/>
      <w:divBdr>
        <w:top w:val="none" w:sz="0" w:space="0" w:color="auto"/>
        <w:left w:val="none" w:sz="0" w:space="0" w:color="auto"/>
        <w:bottom w:val="none" w:sz="0" w:space="0" w:color="auto"/>
        <w:right w:val="none" w:sz="0" w:space="0" w:color="auto"/>
      </w:divBdr>
    </w:div>
    <w:div w:id="1336880614">
      <w:bodyDiv w:val="1"/>
      <w:marLeft w:val="0"/>
      <w:marRight w:val="0"/>
      <w:marTop w:val="0"/>
      <w:marBottom w:val="0"/>
      <w:divBdr>
        <w:top w:val="none" w:sz="0" w:space="0" w:color="auto"/>
        <w:left w:val="none" w:sz="0" w:space="0" w:color="auto"/>
        <w:bottom w:val="none" w:sz="0" w:space="0" w:color="auto"/>
        <w:right w:val="none" w:sz="0" w:space="0" w:color="auto"/>
      </w:divBdr>
    </w:div>
    <w:div w:id="1353453032">
      <w:bodyDiv w:val="1"/>
      <w:marLeft w:val="0"/>
      <w:marRight w:val="0"/>
      <w:marTop w:val="0"/>
      <w:marBottom w:val="0"/>
      <w:divBdr>
        <w:top w:val="none" w:sz="0" w:space="0" w:color="auto"/>
        <w:left w:val="none" w:sz="0" w:space="0" w:color="auto"/>
        <w:bottom w:val="none" w:sz="0" w:space="0" w:color="auto"/>
        <w:right w:val="none" w:sz="0" w:space="0" w:color="auto"/>
      </w:divBdr>
    </w:div>
    <w:div w:id="1386375866">
      <w:bodyDiv w:val="1"/>
      <w:marLeft w:val="0"/>
      <w:marRight w:val="0"/>
      <w:marTop w:val="0"/>
      <w:marBottom w:val="0"/>
      <w:divBdr>
        <w:top w:val="none" w:sz="0" w:space="0" w:color="auto"/>
        <w:left w:val="none" w:sz="0" w:space="0" w:color="auto"/>
        <w:bottom w:val="none" w:sz="0" w:space="0" w:color="auto"/>
        <w:right w:val="none" w:sz="0" w:space="0" w:color="auto"/>
      </w:divBdr>
    </w:div>
    <w:div w:id="1429617042">
      <w:bodyDiv w:val="1"/>
      <w:marLeft w:val="0"/>
      <w:marRight w:val="0"/>
      <w:marTop w:val="0"/>
      <w:marBottom w:val="0"/>
      <w:divBdr>
        <w:top w:val="none" w:sz="0" w:space="0" w:color="auto"/>
        <w:left w:val="none" w:sz="0" w:space="0" w:color="auto"/>
        <w:bottom w:val="none" w:sz="0" w:space="0" w:color="auto"/>
        <w:right w:val="none" w:sz="0" w:space="0" w:color="auto"/>
      </w:divBdr>
    </w:div>
    <w:div w:id="1473252364">
      <w:bodyDiv w:val="1"/>
      <w:marLeft w:val="0"/>
      <w:marRight w:val="0"/>
      <w:marTop w:val="0"/>
      <w:marBottom w:val="0"/>
      <w:divBdr>
        <w:top w:val="none" w:sz="0" w:space="0" w:color="auto"/>
        <w:left w:val="none" w:sz="0" w:space="0" w:color="auto"/>
        <w:bottom w:val="none" w:sz="0" w:space="0" w:color="auto"/>
        <w:right w:val="none" w:sz="0" w:space="0" w:color="auto"/>
      </w:divBdr>
    </w:div>
    <w:div w:id="1520387752">
      <w:bodyDiv w:val="1"/>
      <w:marLeft w:val="0"/>
      <w:marRight w:val="0"/>
      <w:marTop w:val="0"/>
      <w:marBottom w:val="0"/>
      <w:divBdr>
        <w:top w:val="none" w:sz="0" w:space="0" w:color="auto"/>
        <w:left w:val="none" w:sz="0" w:space="0" w:color="auto"/>
        <w:bottom w:val="none" w:sz="0" w:space="0" w:color="auto"/>
        <w:right w:val="none" w:sz="0" w:space="0" w:color="auto"/>
      </w:divBdr>
    </w:div>
    <w:div w:id="1622809876">
      <w:bodyDiv w:val="1"/>
      <w:marLeft w:val="0"/>
      <w:marRight w:val="0"/>
      <w:marTop w:val="0"/>
      <w:marBottom w:val="0"/>
      <w:divBdr>
        <w:top w:val="none" w:sz="0" w:space="0" w:color="auto"/>
        <w:left w:val="none" w:sz="0" w:space="0" w:color="auto"/>
        <w:bottom w:val="none" w:sz="0" w:space="0" w:color="auto"/>
        <w:right w:val="none" w:sz="0" w:space="0" w:color="auto"/>
      </w:divBdr>
    </w:div>
    <w:div w:id="1703289224">
      <w:bodyDiv w:val="1"/>
      <w:marLeft w:val="0"/>
      <w:marRight w:val="0"/>
      <w:marTop w:val="0"/>
      <w:marBottom w:val="0"/>
      <w:divBdr>
        <w:top w:val="none" w:sz="0" w:space="0" w:color="auto"/>
        <w:left w:val="none" w:sz="0" w:space="0" w:color="auto"/>
        <w:bottom w:val="none" w:sz="0" w:space="0" w:color="auto"/>
        <w:right w:val="none" w:sz="0" w:space="0" w:color="auto"/>
      </w:divBdr>
    </w:div>
    <w:div w:id="1724938322">
      <w:bodyDiv w:val="1"/>
      <w:marLeft w:val="0"/>
      <w:marRight w:val="0"/>
      <w:marTop w:val="0"/>
      <w:marBottom w:val="0"/>
      <w:divBdr>
        <w:top w:val="none" w:sz="0" w:space="0" w:color="auto"/>
        <w:left w:val="none" w:sz="0" w:space="0" w:color="auto"/>
        <w:bottom w:val="none" w:sz="0" w:space="0" w:color="auto"/>
        <w:right w:val="none" w:sz="0" w:space="0" w:color="auto"/>
      </w:divBdr>
    </w:div>
    <w:div w:id="1743021927">
      <w:bodyDiv w:val="1"/>
      <w:marLeft w:val="0"/>
      <w:marRight w:val="0"/>
      <w:marTop w:val="0"/>
      <w:marBottom w:val="0"/>
      <w:divBdr>
        <w:top w:val="none" w:sz="0" w:space="0" w:color="auto"/>
        <w:left w:val="none" w:sz="0" w:space="0" w:color="auto"/>
        <w:bottom w:val="none" w:sz="0" w:space="0" w:color="auto"/>
        <w:right w:val="none" w:sz="0" w:space="0" w:color="auto"/>
      </w:divBdr>
    </w:div>
    <w:div w:id="1747922301">
      <w:bodyDiv w:val="1"/>
      <w:marLeft w:val="0"/>
      <w:marRight w:val="0"/>
      <w:marTop w:val="0"/>
      <w:marBottom w:val="0"/>
      <w:divBdr>
        <w:top w:val="none" w:sz="0" w:space="0" w:color="auto"/>
        <w:left w:val="none" w:sz="0" w:space="0" w:color="auto"/>
        <w:bottom w:val="none" w:sz="0" w:space="0" w:color="auto"/>
        <w:right w:val="none" w:sz="0" w:space="0" w:color="auto"/>
      </w:divBdr>
    </w:div>
    <w:div w:id="1752921192">
      <w:bodyDiv w:val="1"/>
      <w:marLeft w:val="0"/>
      <w:marRight w:val="0"/>
      <w:marTop w:val="0"/>
      <w:marBottom w:val="0"/>
      <w:divBdr>
        <w:top w:val="none" w:sz="0" w:space="0" w:color="auto"/>
        <w:left w:val="none" w:sz="0" w:space="0" w:color="auto"/>
        <w:bottom w:val="none" w:sz="0" w:space="0" w:color="auto"/>
        <w:right w:val="none" w:sz="0" w:space="0" w:color="auto"/>
      </w:divBdr>
    </w:div>
    <w:div w:id="1875193661">
      <w:bodyDiv w:val="1"/>
      <w:marLeft w:val="0"/>
      <w:marRight w:val="0"/>
      <w:marTop w:val="0"/>
      <w:marBottom w:val="0"/>
      <w:divBdr>
        <w:top w:val="none" w:sz="0" w:space="0" w:color="auto"/>
        <w:left w:val="none" w:sz="0" w:space="0" w:color="auto"/>
        <w:bottom w:val="none" w:sz="0" w:space="0" w:color="auto"/>
        <w:right w:val="none" w:sz="0" w:space="0" w:color="auto"/>
      </w:divBdr>
    </w:div>
    <w:div w:id="1887326108">
      <w:bodyDiv w:val="1"/>
      <w:marLeft w:val="0"/>
      <w:marRight w:val="0"/>
      <w:marTop w:val="0"/>
      <w:marBottom w:val="0"/>
      <w:divBdr>
        <w:top w:val="none" w:sz="0" w:space="0" w:color="auto"/>
        <w:left w:val="none" w:sz="0" w:space="0" w:color="auto"/>
        <w:bottom w:val="none" w:sz="0" w:space="0" w:color="auto"/>
        <w:right w:val="none" w:sz="0" w:space="0" w:color="auto"/>
      </w:divBdr>
    </w:div>
    <w:div w:id="1904563706">
      <w:bodyDiv w:val="1"/>
      <w:marLeft w:val="0"/>
      <w:marRight w:val="0"/>
      <w:marTop w:val="0"/>
      <w:marBottom w:val="0"/>
      <w:divBdr>
        <w:top w:val="none" w:sz="0" w:space="0" w:color="auto"/>
        <w:left w:val="none" w:sz="0" w:space="0" w:color="auto"/>
        <w:bottom w:val="none" w:sz="0" w:space="0" w:color="auto"/>
        <w:right w:val="none" w:sz="0" w:space="0" w:color="auto"/>
      </w:divBdr>
    </w:div>
    <w:div w:id="1926955330">
      <w:bodyDiv w:val="1"/>
      <w:marLeft w:val="0"/>
      <w:marRight w:val="0"/>
      <w:marTop w:val="0"/>
      <w:marBottom w:val="0"/>
      <w:divBdr>
        <w:top w:val="none" w:sz="0" w:space="0" w:color="auto"/>
        <w:left w:val="none" w:sz="0" w:space="0" w:color="auto"/>
        <w:bottom w:val="none" w:sz="0" w:space="0" w:color="auto"/>
        <w:right w:val="none" w:sz="0" w:space="0" w:color="auto"/>
      </w:divBdr>
    </w:div>
    <w:div w:id="1969815800">
      <w:bodyDiv w:val="1"/>
      <w:marLeft w:val="0"/>
      <w:marRight w:val="0"/>
      <w:marTop w:val="0"/>
      <w:marBottom w:val="0"/>
      <w:divBdr>
        <w:top w:val="none" w:sz="0" w:space="0" w:color="auto"/>
        <w:left w:val="none" w:sz="0" w:space="0" w:color="auto"/>
        <w:bottom w:val="none" w:sz="0" w:space="0" w:color="auto"/>
        <w:right w:val="none" w:sz="0" w:space="0" w:color="auto"/>
      </w:divBdr>
    </w:div>
    <w:div w:id="2040162437">
      <w:bodyDiv w:val="1"/>
      <w:marLeft w:val="0"/>
      <w:marRight w:val="0"/>
      <w:marTop w:val="0"/>
      <w:marBottom w:val="0"/>
      <w:divBdr>
        <w:top w:val="none" w:sz="0" w:space="0" w:color="auto"/>
        <w:left w:val="none" w:sz="0" w:space="0" w:color="auto"/>
        <w:bottom w:val="none" w:sz="0" w:space="0" w:color="auto"/>
        <w:right w:val="none" w:sz="0" w:space="0" w:color="auto"/>
      </w:divBdr>
    </w:div>
    <w:div w:id="2070762711">
      <w:bodyDiv w:val="1"/>
      <w:marLeft w:val="0"/>
      <w:marRight w:val="0"/>
      <w:marTop w:val="0"/>
      <w:marBottom w:val="0"/>
      <w:divBdr>
        <w:top w:val="none" w:sz="0" w:space="0" w:color="auto"/>
        <w:left w:val="none" w:sz="0" w:space="0" w:color="auto"/>
        <w:bottom w:val="none" w:sz="0" w:space="0" w:color="auto"/>
        <w:right w:val="none" w:sz="0" w:space="0" w:color="auto"/>
      </w:divBdr>
    </w:div>
    <w:div w:id="2072656894">
      <w:bodyDiv w:val="1"/>
      <w:marLeft w:val="0"/>
      <w:marRight w:val="0"/>
      <w:marTop w:val="0"/>
      <w:marBottom w:val="0"/>
      <w:divBdr>
        <w:top w:val="none" w:sz="0" w:space="0" w:color="auto"/>
        <w:left w:val="none" w:sz="0" w:space="0" w:color="auto"/>
        <w:bottom w:val="none" w:sz="0" w:space="0" w:color="auto"/>
        <w:right w:val="none" w:sz="0" w:space="0" w:color="auto"/>
      </w:divBdr>
    </w:div>
    <w:div w:id="2135711841">
      <w:bodyDiv w:val="1"/>
      <w:marLeft w:val="0"/>
      <w:marRight w:val="0"/>
      <w:marTop w:val="0"/>
      <w:marBottom w:val="0"/>
      <w:divBdr>
        <w:top w:val="none" w:sz="0" w:space="0" w:color="auto"/>
        <w:left w:val="none" w:sz="0" w:space="0" w:color="auto"/>
        <w:bottom w:val="none" w:sz="0" w:space="0" w:color="auto"/>
        <w:right w:val="none" w:sz="0" w:space="0" w:color="auto"/>
      </w:divBdr>
    </w:div>
    <w:div w:id="2137526404">
      <w:bodyDiv w:val="1"/>
      <w:marLeft w:val="0"/>
      <w:marRight w:val="0"/>
      <w:marTop w:val="0"/>
      <w:marBottom w:val="0"/>
      <w:divBdr>
        <w:top w:val="none" w:sz="0" w:space="0" w:color="auto"/>
        <w:left w:val="none" w:sz="0" w:space="0" w:color="auto"/>
        <w:bottom w:val="none" w:sz="0" w:space="0" w:color="auto"/>
        <w:right w:val="none" w:sz="0" w:space="0" w:color="auto"/>
      </w:divBdr>
    </w:div>
    <w:div w:id="2143689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idney.org/atoz/content/peritoneal" TargetMode="External"/><Relationship Id="rId4" Type="http://schemas.openxmlformats.org/officeDocument/2006/relationships/webSettings" Target="webSettings.xml"/><Relationship Id="rId9" Type="http://schemas.openxmlformats.org/officeDocument/2006/relationships/hyperlink" Target="https://doi.org/10.1681/ASN.2004080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6019</Words>
  <Characters>34311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Munroe</dc:creator>
  <cp:lastModifiedBy>Thuan Nguyen</cp:lastModifiedBy>
  <cp:revision>4</cp:revision>
  <dcterms:created xsi:type="dcterms:W3CDTF">2024-11-12T01:55:00Z</dcterms:created>
  <dcterms:modified xsi:type="dcterms:W3CDTF">2024-11-14T00:52:00Z</dcterms:modified>
</cp:coreProperties>
</file>