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0F1729"/>
          <w:sz w:val="32"/>
          <w:szCs w:val="32"/>
        </w:rPr>
        <w:t xml:space="preserve">WEBSITE BUILD SERVICES AGREEMENT</w:t>
      </w:r>
    </w:p>
    <w:p>
      <w:pPr>
        <w:pBdr>
          <w:bottom w:val="single" w:color="2DD4BF" w:sz="12" w:space="8"/>
        </w:pBdr>
        <w:spacing w:after="360"/>
        <w:jc w:val="center"/>
      </w:pPr>
      <w:r>
        <w:rPr>
          <w:color w:val="666666"/>
          <w:sz w:val="20"/>
          <w:szCs w:val="20"/>
        </w:rPr>
        <w:t xml:space="preserve">Today Capital Group</w:t>
      </w:r>
    </w:p>
    <w:p>
      <w:pPr>
        <w:spacing w:after="160"/>
      </w:pPr>
      <w:r>
        <w:t xml:space="preserve">This Website Build Services Agreement (the "Agreement") is entered into as of ____________________, 20____ (the "Effective Date") by and between:</w:t>
      </w:r>
    </w:p>
    <w:p>
      <w:pPr>
        <w:spacing w:after="160"/>
      </w:pPr>
      <w:r>
        <w:rPr>
          <w:b/>
          <w:bCs/>
        </w:rPr>
        <w:t xml:space="preserve">Service Provider: </w:t>
      </w:r>
      <w:r>
        <w:t xml:space="preserve">Today Capital Group, a California business entity now operating as Guide Funding Group, located at Woodland Hills, California ("TCG," "we," "us," or "our").</w:t>
      </w:r>
    </w:p>
    <w:p>
      <w:pPr>
        <w:spacing w:after="160"/>
      </w:pPr>
      <w:r>
        <w:rPr>
          <w:b/>
          <w:bCs/>
        </w:rPr>
        <w:t xml:space="preserve">Client: </w:t>
      </w:r>
      <w:r>
        <w:t xml:space="preserve">________________________________________________, located at ________________________________________________ ("Client," "you," or "your").</w:t>
      </w:r>
    </w:p>
    <w:p>
      <w:pPr>
        <w:spacing w:after="160"/>
      </w:pPr>
      <w:r>
        <w:t xml:space="preserve">TCG and Client are each a "Party" and together the "Parties."</w:t>
      </w:r>
    </w:p>
    <w:p>
      <w:pPr>
        <w:pStyle w:val="Heading2"/>
      </w:pPr>
      <w:r>
        <w:rPr>
          <w:b/>
          <w:bCs/>
        </w:rPr>
        <w:t xml:space="preserve">1. Services</w:t>
      </w:r>
    </w:p>
    <w:p>
      <w:pPr>
        <w:spacing w:after="160"/>
      </w:pPr>
      <w:r>
        <w:t xml:space="preserve">1.1  Scope. TCG will design, build, and deliver a custom website for Client (the "Website") based on the scope of work, design preferences, content, and functionality discussed during a discovery call between the Parties and documented in a separate scope summary or written correspondence between the Parties (the "Scope"). The Scope may include, without limitation, page layout, copy, basic visual design, navigation structure, and standard functionality typical of a small-business marketing website.</w:t>
      </w:r>
    </w:p>
    <w:p>
      <w:pPr>
        <w:spacing w:after="160"/>
      </w:pPr>
      <w:r>
        <w:t xml:space="preserve">1.2  Discovery Call. Prior to building, TCG will conduct a discovery call with Client and any team members Client chooses to include, to confirm goals, content requirements, and design direction. The Scope is intended to reflect what is discussed during this call.</w:t>
      </w:r>
    </w:p>
    <w:p>
      <w:pPr>
        <w:spacing w:after="160"/>
      </w:pPr>
      <w:r>
        <w:t xml:space="preserve">1.3  Revisions. The fees set forth in Section 4 include two (2) rounds of revisions following Client’s review of the initial build. A "round of revisions" means a single, consolidated set of change requests delivered by Client to TCG in writing. Additional rounds of revisions, scope changes, or new feature requests beyond the agreed Scope are not included and may be quoted separately as additional services.</w:t>
      </w:r>
    </w:p>
    <w:p>
      <w:pPr>
        <w:spacing w:after="160"/>
      </w:pPr>
      <w:r>
        <w:t xml:space="preserve">1.4  Out of Scope. Unless expressly included in the Scope, the following are not included and may be quoted separately: e-commerce setup beyond basic checkout, custom integrations with third-party software, ongoing SEO services, paid advertising, email marketing setup, copywriting beyond standard page copy, photography and videography, translation, accessibility audits, and ongoing maintenance after delivery.</w:t>
      </w:r>
    </w:p>
    <w:p>
      <w:pPr>
        <w:pStyle w:val="Heading2"/>
      </w:pPr>
      <w:r>
        <w:rPr>
          <w:b/>
          <w:bCs/>
        </w:rPr>
        <w:t xml:space="preserve">2. Client Responsibilities</w:t>
      </w:r>
    </w:p>
    <w:p>
      <w:pPr>
        <w:spacing w:after="160"/>
      </w:pPr>
      <w:r>
        <w:t xml:space="preserve">To allow TCG to deliver on schedule, Client agrees to:</w:t>
      </w:r>
    </w:p>
    <w:p>
      <w:pPr>
        <w:pStyle w:val="ListParagraph"/>
        <w:numPr>
          <w:ilvl w:val="0"/>
          <w:numId w:val="2"/>
        </w:numPr>
        <w:spacing w:after="80"/>
      </w:pPr>
      <w:r>
        <w:t xml:space="preserve">Provide all required content (text, images, branding assets, logos, contact information) within the timeframes agreed during the discovery call.</w:t>
      </w:r>
    </w:p>
    <w:p>
      <w:pPr>
        <w:pStyle w:val="ListParagraph"/>
        <w:numPr>
          <w:ilvl w:val="0"/>
          <w:numId w:val="2"/>
        </w:numPr>
        <w:spacing w:after="80"/>
      </w:pPr>
      <w:r>
        <w:t xml:space="preserve">Provide timely feedback during the revision rounds described in Section 1.3. Client feedback that is delayed by more than fourteen (14) calendar days from TCG’s delivery may, at TCG’s discretion, result in the project being placed on hold.</w:t>
      </w:r>
    </w:p>
    <w:p>
      <w:pPr>
        <w:pStyle w:val="ListParagraph"/>
        <w:numPr>
          <w:ilvl w:val="0"/>
          <w:numId w:val="2"/>
        </w:numPr>
        <w:spacing w:after="80"/>
      </w:pPr>
      <w:r>
        <w:t xml:space="preserve">Confirm in writing (email is sufficient) that Client has the legal right to use any content, images, logos, or other materials provided to TCG.</w:t>
      </w:r>
    </w:p>
    <w:p>
      <w:pPr>
        <w:pStyle w:val="ListParagraph"/>
        <w:numPr>
          <w:ilvl w:val="0"/>
          <w:numId w:val="2"/>
        </w:numPr>
        <w:spacing w:after="80"/>
      </w:pPr>
      <w:r>
        <w:t xml:space="preserve">Register and maintain the domain name in Client’s own account (see Section 5).</w:t>
      </w:r>
    </w:p>
    <w:p>
      <w:pPr>
        <w:pStyle w:val="ListParagraph"/>
        <w:numPr>
          <w:ilvl w:val="0"/>
          <w:numId w:val="2"/>
        </w:numPr>
        <w:spacing w:after="80"/>
      </w:pPr>
      <w:r>
        <w:t xml:space="preserve">Maintain reasonable communication with TCG throughout the project.</w:t>
      </w:r>
    </w:p>
    <w:p>
      <w:pPr>
        <w:pStyle w:val="Heading2"/>
      </w:pPr>
      <w:r>
        <w:rPr>
          <w:b/>
          <w:bCs/>
        </w:rPr>
        <w:t xml:space="preserve">3. Ownership of the Website</w:t>
      </w:r>
    </w:p>
    <w:p>
      <w:pPr>
        <w:spacing w:after="160"/>
      </w:pPr>
      <w:r>
        <w:t xml:space="preserve">3.1  Transfer of Ownership. Upon Client’s payment in full of the fees set forth in Section 4, TCG hereby assigns and transfers to Client all of TCG’s right, title, and interest in and to the final, delivered Website, including the design, code, layout, page content authored by TCG specifically for Client, and all custom assets created by TCG for the Website (collectively, the "Deliverables").</w:t>
      </w:r>
    </w:p>
    <w:p>
      <w:pPr>
        <w:spacing w:after="160"/>
      </w:pPr>
      <w:r>
        <w:t xml:space="preserve">3.2  What Client Owns. Client will own:</w:t>
      </w:r>
    </w:p>
    <w:p>
      <w:pPr>
        <w:pStyle w:val="ListParagraph"/>
        <w:numPr>
          <w:ilvl w:val="0"/>
          <w:numId w:val="2"/>
        </w:numPr>
        <w:spacing w:after="80"/>
      </w:pPr>
      <w:r>
        <w:t xml:space="preserve">The final, delivered design and layout of the Website.</w:t>
      </w:r>
    </w:p>
    <w:p>
      <w:pPr>
        <w:pStyle w:val="ListParagraph"/>
        <w:numPr>
          <w:ilvl w:val="0"/>
          <w:numId w:val="2"/>
        </w:numPr>
        <w:spacing w:after="80"/>
      </w:pPr>
      <w:r>
        <w:t xml:space="preserve">All copy and content written by TCG specifically for Client as part of the build.</w:t>
      </w:r>
    </w:p>
    <w:p>
      <w:pPr>
        <w:pStyle w:val="ListParagraph"/>
        <w:numPr>
          <w:ilvl w:val="0"/>
          <w:numId w:val="2"/>
        </w:numPr>
        <w:spacing w:after="80"/>
      </w:pPr>
      <w:r>
        <w:t xml:space="preserve">All custom graphics and visual assets created by TCG specifically for Client as part of the build.</w:t>
      </w:r>
    </w:p>
    <w:p>
      <w:pPr>
        <w:pStyle w:val="ListParagraph"/>
        <w:numPr>
          <w:ilvl w:val="0"/>
          <w:numId w:val="2"/>
        </w:numPr>
        <w:spacing w:after="80"/>
      </w:pPr>
      <w:r>
        <w:t xml:space="preserve">A full export or copy of the Website files, deliverable in a portable format upon Client request.</w:t>
      </w:r>
    </w:p>
    <w:p>
      <w:pPr>
        <w:spacing w:after="160"/>
      </w:pPr>
      <w:r>
        <w:t xml:space="preserve">3.3  Exclusions. Client’s ownership does not extend to:</w:t>
      </w:r>
    </w:p>
    <w:p>
      <w:pPr>
        <w:pStyle w:val="ListParagraph"/>
        <w:numPr>
          <w:ilvl w:val="0"/>
          <w:numId w:val="2"/>
        </w:numPr>
        <w:spacing w:after="80"/>
      </w:pPr>
      <w:r>
        <w:t xml:space="preserve">Third-party software, plugins, themes, frameworks, fonts, stock photography, or libraries used in the Website. These remain subject to their respective owners’ licenses, and Client agrees to comply with those licenses.</w:t>
      </w:r>
    </w:p>
    <w:p>
      <w:pPr>
        <w:pStyle w:val="ListParagraph"/>
        <w:numPr>
          <w:ilvl w:val="0"/>
          <w:numId w:val="2"/>
        </w:numPr>
        <w:spacing w:after="80"/>
      </w:pPr>
      <w:r>
        <w:t xml:space="preserve">TCG’s general tools, internal workflows, processes, templates, and know-how used to build the Website, which TCG retains and may reuse on future projects, provided TCG does not use Client’s confidential information or branded materials.</w:t>
      </w:r>
    </w:p>
    <w:p>
      <w:pPr>
        <w:spacing w:after="160"/>
      </w:pPr>
      <w:r>
        <w:t xml:space="preserve">3.4  Portfolio Use. TCG may display screenshots or references to the Website, and may identify Client as a TCG client, in TCG’s portfolio, marketing materials, and case studies, unless Client requests otherwise in writing.</w:t>
      </w:r>
    </w:p>
    <w:p>
      <w:pPr>
        <w:pStyle w:val="Heading2"/>
      </w:pPr>
      <w:r>
        <w:rPr>
          <w:b/>
          <w:bCs/>
        </w:rPr>
        <w:t xml:space="preserve">4. Fees and Payment</w:t>
      </w:r>
    </w:p>
    <w:p>
      <w:pPr>
        <w:spacing w:after="160"/>
      </w:pPr>
      <w:r>
        <w:t xml:space="preserve">4.1  Project Fee. The total project fee is $____________ USD (the "Project Fee"), inclusive of the discovery call, build, and two (2) rounds of revisions described in Section 1.</w:t>
      </w:r>
    </w:p>
    <w:p>
      <w:pPr>
        <w:spacing w:after="160"/>
      </w:pPr>
      <w:r>
        <w:t xml:space="preserve">4.2  Payment Terms. The Project Fee is due in full prior to TCG beginning work, unless otherwise agreed in writing between the Parties.</w:t>
      </w:r>
    </w:p>
    <w:p>
      <w:pPr>
        <w:spacing w:after="160"/>
      </w:pPr>
      <w:r>
        <w:t xml:space="preserve">4.3  Additional Work. Any work outside the Scope, additional revision rounds beyond those included, or new features requested after the build begins will be quoted separately and require Client’s written approval before TCG begins the additional work.</w:t>
      </w:r>
    </w:p>
    <w:p>
      <w:pPr>
        <w:spacing w:after="160"/>
      </w:pPr>
      <w:r>
        <w:t xml:space="preserve">4.4  Refunds. Once work has begun, the Project Fee is non-refundable. If Client cancels the project before TCG has begun substantive work, TCG will refund the Project Fee less a reasonable administrative fee to cover discovery and onboarding time.</w:t>
      </w:r>
    </w:p>
    <w:p>
      <w:pPr>
        <w:pStyle w:val="Heading2"/>
      </w:pPr>
      <w:r>
        <w:rPr>
          <w:b/>
          <w:bCs/>
        </w:rPr>
        <w:t xml:space="preserve">5. Hosting and Domain</w:t>
      </w:r>
    </w:p>
    <w:p>
      <w:pPr>
        <w:spacing w:after="160"/>
      </w:pPr>
      <w:r>
        <w:t xml:space="preserve">5.1  Hosting Options. Client may choose between the following hosting options:</w:t>
      </w:r>
    </w:p>
    <w:p>
      <w:pPr>
        <w:spacing w:after="160"/>
      </w:pPr>
      <w:r>
        <w:rPr>
          <w:b/>
          <w:bCs/>
        </w:rPr>
        <w:t xml:space="preserve">Option A — Hosting via SiteGround through TCG. </w:t>
      </w:r>
      <w:r>
        <w:t xml:space="preserve">TCG will set up hosting for the Website with SiteGround on Client’s behalf. Standard SiteGround hosting fees and renewal terms apply and are set by SiteGround, not by TCG. Hosting fees are billed separately from the Project Fee, and TCG will share the applicable pricing with Client prior to setup. Client will own the hosting account or, if the account is held under TCG, TCG will transfer ownership to Client upon written request at no additional cost.</w:t>
      </w:r>
    </w:p>
    <w:p>
      <w:pPr>
        <w:spacing w:after="160"/>
      </w:pPr>
      <w:r>
        <w:rPr>
          <w:b/>
          <w:bCs/>
        </w:rPr>
        <w:t xml:space="preserve">Option B — Client-Provided Hosting. </w:t>
      </w:r>
      <w:r>
        <w:t xml:space="preserve">Client may host the Website on any platform of their choosing (for example, WordPress.com, Webflow, SiteGround, GoDaddy, Bluehost, or other). In this case, TCG will deliver the Website files in a portable format suitable for the chosen platform. Client is responsible for setting up, maintaining, and paying for the hosting environment.</w:t>
      </w:r>
    </w:p>
    <w:p>
      <w:pPr>
        <w:spacing w:after="160"/>
      </w:pPr>
      <w:r>
        <w:t xml:space="preserve">5.2  Domain Name. Registration, renewal, and ongoing payment for the domain name are the sole responsibility of Client. Client should register the domain in Client’s own name and account so that Client maintains continuous control. TCG may, as a courtesy, assist Client in connecting the domain to the chosen hosting environment, but TCG does not register, hold, or maintain Client’s domain.</w:t>
      </w:r>
    </w:p>
    <w:p>
      <w:pPr>
        <w:spacing w:after="160"/>
      </w:pPr>
      <w:r>
        <w:t xml:space="preserve">5.3  Third-Party Services. Hosting providers, domain registrars, and other third-party services used in connection with the Website are independent of TCG. TCG is not responsible for outages, billing disputes, account suspensions, or other issues arising from third-party services.</w:t>
      </w:r>
    </w:p>
    <w:p>
      <w:pPr>
        <w:pStyle w:val="Heading2"/>
      </w:pPr>
      <w:r>
        <w:rPr>
          <w:b/>
          <w:bCs/>
        </w:rPr>
        <w:t xml:space="preserve">6. Timeline</w:t>
      </w:r>
    </w:p>
    <w:p>
      <w:pPr>
        <w:spacing w:after="160"/>
      </w:pPr>
      <w:r>
        <w:t xml:space="preserve">6.1  Target Delivery. TCG will aim to deliver an initial build of the Website within the timeframe discussed during the discovery call and documented in the Scope. Target delivery times are estimates, not guarantees, and depend on the timeliness of Client’s content delivery and feedback.</w:t>
      </w:r>
    </w:p>
    <w:p>
      <w:pPr>
        <w:spacing w:after="160"/>
      </w:pPr>
      <w:r>
        <w:t xml:space="preserve">6.2  Delays Caused by Client. If Client’s delays in providing content, feedback, or approvals extend the project, TCG’s delivery timeline will be extended accordingly. Repeated or extended delays (more than thirty (30) calendar days of inactivity from Client) may result in the project being closed, with delivery of the Website in its then-current state and no refund of the Project Fee.</w:t>
      </w:r>
    </w:p>
    <w:p>
      <w:pPr>
        <w:pStyle w:val="Heading2"/>
      </w:pPr>
      <w:r>
        <w:rPr>
          <w:b/>
          <w:bCs/>
        </w:rPr>
        <w:t xml:space="preserve">7. Warranties and Disclaimers</w:t>
      </w:r>
    </w:p>
    <w:p>
      <w:pPr>
        <w:spacing w:after="160"/>
      </w:pPr>
      <w:r>
        <w:t xml:space="preserve">7.1  TCG’s Warranty. TCG warrants that the services will be performed in a professional and workmanlike manner, consistent with industry standards for small-business website builds.</w:t>
      </w:r>
    </w:p>
    <w:p>
      <w:pPr>
        <w:spacing w:after="160"/>
      </w:pPr>
      <w:r>
        <w:t xml:space="preserve">7.2  Disclaimers. EXCEPT AS EXPRESSLY STATED IN THIS AGREEMENT, THE WEBSITE AND ALL SERVICES ARE PROVIDED "AS IS." TCG MAKES NO OTHER WARRANTIES, EXPRESS OR IMPLIED, INCLUDING BUT NOT LIMITED TO ANY IMPLIED WARRANTIES OF MERCHANTABILITY, FITNESS FOR A PARTICULAR PURPOSE, NON-INFRINGEMENT, OR THAT THE WEBSITE WILL ACHIEVE ANY SPECIFIC BUSINESS RESULT, SEARCH RANKING, TRAFFIC LEVEL, OR REVENUE OUTCOME.</w:t>
      </w:r>
    </w:p>
    <w:p>
      <w:pPr>
        <w:spacing w:after="160"/>
      </w:pPr>
      <w:r>
        <w:t xml:space="preserve">7.3  Client Content. Client warrants that all content, images, logos, and other materials provided to TCG are owned by Client or properly licensed, and that TCG’s use of such materials will not infringe the rights of any third party. Client will indemnify and hold TCG harmless from any third-party claim arising from Client-provided content.</w:t>
      </w:r>
    </w:p>
    <w:p>
      <w:pPr>
        <w:pStyle w:val="Heading2"/>
      </w:pPr>
      <w:r>
        <w:rPr>
          <w:b/>
          <w:bCs/>
        </w:rPr>
        <w:t xml:space="preserve">8. Limitation of Liability</w:t>
      </w:r>
    </w:p>
    <w:p>
      <w:pPr>
        <w:spacing w:after="160"/>
      </w:pPr>
      <w:r>
        <w:t xml:space="preserve">TO THE MAXIMUM EXTENT PERMITTED BY LAW, TCG’S TOTAL LIABILITY UNDER OR IN CONNECTION WITH THIS AGREEMENT WILL NOT EXCEED THE TOTAL PROJECT FEE ACTUALLY PAID BY CLIENT TO TCG. IN NO EVENT WILL TCG BE LIABLE FOR ANY INDIRECT, INCIDENTAL, SPECIAL, CONSEQUENTIAL, OR PUNITIVE DAMAGES, INCLUDING LOST PROFITS OR LOST BUSINESS, EVEN IF TCG HAS BEEN ADVISED OF THE POSSIBILITY OF SUCH DAMAGES.</w:t>
      </w:r>
    </w:p>
    <w:p>
      <w:pPr>
        <w:pStyle w:val="Heading2"/>
      </w:pPr>
      <w:r>
        <w:rPr>
          <w:b/>
          <w:bCs/>
        </w:rPr>
        <w:t xml:space="preserve">9. Confidentiality</w:t>
      </w:r>
    </w:p>
    <w:p>
      <w:pPr>
        <w:spacing w:after="160"/>
      </w:pPr>
      <w:r>
        <w:t xml:space="preserve">Each Party agrees to keep confidential any non-public business information shared by the other Party during the project, and to use such information only for purposes of performing this Agreement. This obligation does not apply to information that is publicly available, independently developed, or required to be disclosed by law.</w:t>
      </w:r>
    </w:p>
    <w:p>
      <w:pPr>
        <w:pStyle w:val="Heading2"/>
      </w:pPr>
      <w:r>
        <w:rPr>
          <w:b/>
          <w:bCs/>
        </w:rPr>
        <w:t xml:space="preserve">10. Term and Termination</w:t>
      </w:r>
    </w:p>
    <w:p>
      <w:pPr>
        <w:spacing w:after="160"/>
      </w:pPr>
      <w:r>
        <w:t xml:space="preserve">10.1  Term. This Agreement begins on the Effective Date and continues until the Website is delivered and the revision rounds described in Section 1 are completed, unless terminated earlier as provided below.</w:t>
      </w:r>
    </w:p>
    <w:p>
      <w:pPr>
        <w:spacing w:after="160"/>
      </w:pPr>
      <w:r>
        <w:t xml:space="preserve">10.2  Termination for Cause. Either Party may terminate this Agreement upon written notice if the other Party materially breaches this Agreement and fails to cure the breach within fifteen (15) calendar days of receiving written notice of the breach.</w:t>
      </w:r>
    </w:p>
    <w:p>
      <w:pPr>
        <w:spacing w:after="160"/>
      </w:pPr>
      <w:r>
        <w:t xml:space="preserve">10.3  Effect of Termination. Upon termination, TCG will deliver the Website in its then-current state to Client, and ownership of the delivered portion will transfer to Client provided the Project Fee has been paid in full. If the Project Fee has not been paid, TCG retains all rights in the Deliverables until payment is received.</w:t>
      </w:r>
    </w:p>
    <w:p>
      <w:pPr>
        <w:pStyle w:val="Heading2"/>
      </w:pPr>
      <w:r>
        <w:rPr>
          <w:b/>
          <w:bCs/>
        </w:rPr>
        <w:t xml:space="preserve">11. General Terms</w:t>
      </w:r>
    </w:p>
    <w:p>
      <w:pPr>
        <w:spacing w:after="160"/>
      </w:pPr>
      <w:r>
        <w:t xml:space="preserve">11.1  Independent Contractor. TCG is an independent contractor. Nothing in this Agreement creates an employment, partnership, joint venture, or agency relationship between the Parties.</w:t>
      </w:r>
    </w:p>
    <w:p>
      <w:pPr>
        <w:spacing w:after="160"/>
      </w:pPr>
      <w:r>
        <w:t xml:space="preserve">11.2  Governing Law. This Agreement is governed by the laws of the State of California, without regard to its conflict-of-laws principles. The Parties consent to the exclusive jurisdiction of the state and federal courts located in Los Angeles County, California, for any dispute arising out of or relating to this Agreement.</w:t>
      </w:r>
    </w:p>
    <w:p>
      <w:pPr>
        <w:spacing w:after="160"/>
      </w:pPr>
      <w:r>
        <w:t xml:space="preserve">11.3  Entire Agreement. This Agreement, together with the Scope, represents the entire agreement between the Parties regarding the subject matter and supersedes all prior discussions, proposals, or agreements, written or oral.</w:t>
      </w:r>
    </w:p>
    <w:p>
      <w:pPr>
        <w:spacing w:after="160"/>
      </w:pPr>
      <w:r>
        <w:t xml:space="preserve">11.4  Amendments. Any amendment to this Agreement must be in writing and signed by both Parties. Email confirmation by both Parties is sufficient for amendments related to Scope adjustments.</w:t>
      </w:r>
    </w:p>
    <w:p>
      <w:pPr>
        <w:spacing w:after="160"/>
      </w:pPr>
      <w:r>
        <w:t xml:space="preserve">11.5  Severability. If any provision of this Agreement is held to be unenforceable, the remaining provisions will remain in full force and effect.</w:t>
      </w:r>
    </w:p>
    <w:p>
      <w:pPr>
        <w:spacing w:after="160"/>
      </w:pPr>
      <w:r>
        <w:t xml:space="preserve">11.6  Notices. Notices under this Agreement may be delivered by email to the addresses the Parties use to communicate during the project, and will be deemed received on the next business day after sending.</w:t>
      </w:r>
    </w:p>
    <w:p>
      <w:pPr>
        <w:spacing w:after="160"/>
      </w:pPr>
      <w:r>
        <w:t xml:space="preserve">11.7  Counterparts and Electronic Signatures. This Agreement may be signed in counterparts and by electronic signature, each of which will be deemed an original.</w:t>
      </w:r>
    </w:p>
    <w:p>
      <w:pPr>
        <w:spacing w:after="240" w:before="480"/>
      </w:pPr>
      <w:r>
        <w:rPr>
          <w:b/>
          <w:bCs/>
          <w:color w:val="0F1729"/>
          <w:sz w:val="24"/>
          <w:szCs w:val="24"/>
        </w:rPr>
        <w:t xml:space="preserve">SIGNATURES</w:t>
      </w:r>
    </w:p>
    <w:p>
      <w:pPr>
        <w:spacing w:after="160"/>
      </w:pPr>
      <w:r>
        <w:t xml:space="preserve">By signing below, each Party acknowledges that they have read, understood, and agree to be bound by this Agreement.</w:t>
      </w:r>
    </w:p>
    <w:p>
      <w:pPr>
        <w:spacing w:after="60" w:before="240"/>
      </w:pPr>
      <w:r>
        <w:rPr>
          <w:b/>
          <w:bCs/>
        </w:rPr>
        <w:t xml:space="preserve">TODAY CAPITAL GROUP</w:t>
      </w:r>
    </w:p>
    <w:p>
      <w:pPr>
        <w:pBdr>
          <w:bottom w:val="single" w:color="000000" w:sz="6" w:space="1"/>
        </w:pBdr>
        <w:spacing w:after="120" w:before="240"/>
      </w:pPr>
      <w:r>
        <w:t xml:space="preserve"> </w:t>
      </w:r>
    </w:p>
    <w:p>
      <w:pPr>
        <w:spacing w:after="240"/>
      </w:pPr>
      <w:r>
        <w:rPr>
          <w:color w:val="666666"/>
          <w:sz w:val="18"/>
          <w:szCs w:val="18"/>
        </w:rPr>
        <w:t xml:space="preserve">Signature</w:t>
      </w:r>
    </w:p>
    <w:p>
      <w:pPr>
        <w:pBdr>
          <w:bottom w:val="single" w:color="000000" w:sz="6" w:space="1"/>
        </w:pBdr>
        <w:spacing w:after="120" w:before="240"/>
      </w:pPr>
      <w:r>
        <w:t xml:space="preserve"> </w:t>
      </w:r>
    </w:p>
    <w:p>
      <w:pPr>
        <w:spacing w:after="240"/>
      </w:pPr>
      <w:r>
        <w:rPr>
          <w:color w:val="666666"/>
          <w:sz w:val="18"/>
          <w:szCs w:val="18"/>
        </w:rPr>
        <w:t xml:space="preserve">Printed Name</w:t>
      </w:r>
    </w:p>
    <w:p>
      <w:pPr>
        <w:pBdr>
          <w:bottom w:val="single" w:color="000000" w:sz="6" w:space="1"/>
        </w:pBdr>
        <w:spacing w:after="120" w:before="240"/>
      </w:pPr>
      <w:r>
        <w:t xml:space="preserve"> </w:t>
      </w:r>
    </w:p>
    <w:p>
      <w:pPr>
        <w:spacing w:after="240"/>
      </w:pPr>
      <w:r>
        <w:rPr>
          <w:color w:val="666666"/>
          <w:sz w:val="18"/>
          <w:szCs w:val="18"/>
        </w:rPr>
        <w:t xml:space="preserve">Title</w:t>
      </w:r>
    </w:p>
    <w:p>
      <w:pPr>
        <w:pBdr>
          <w:bottom w:val="single" w:color="000000" w:sz="6" w:space="1"/>
        </w:pBdr>
        <w:spacing w:after="120" w:before="240"/>
      </w:pPr>
      <w:r>
        <w:t xml:space="preserve"> </w:t>
      </w:r>
    </w:p>
    <w:p>
      <w:pPr>
        <w:spacing w:after="240"/>
      </w:pPr>
      <w:r>
        <w:rPr>
          <w:color w:val="666666"/>
          <w:sz w:val="18"/>
          <w:szCs w:val="18"/>
        </w:rPr>
        <w:t xml:space="preserve">Date</w:t>
      </w:r>
    </w:p>
    <w:p>
      <w:pPr>
        <w:spacing w:after="60" w:before="360"/>
      </w:pPr>
      <w:r>
        <w:rPr>
          <w:b/>
          <w:bCs/>
        </w:rPr>
        <w:t xml:space="preserve">CLIENT</w:t>
      </w:r>
    </w:p>
    <w:p>
      <w:pPr>
        <w:pBdr>
          <w:bottom w:val="single" w:color="000000" w:sz="6" w:space="1"/>
        </w:pBdr>
        <w:spacing w:after="120" w:before="240"/>
      </w:pPr>
      <w:r>
        <w:t xml:space="preserve"> </w:t>
      </w:r>
    </w:p>
    <w:p>
      <w:pPr>
        <w:spacing w:after="240"/>
      </w:pPr>
      <w:r>
        <w:rPr>
          <w:color w:val="666666"/>
          <w:sz w:val="18"/>
          <w:szCs w:val="18"/>
        </w:rPr>
        <w:t xml:space="preserve">Signature</w:t>
      </w:r>
    </w:p>
    <w:p>
      <w:pPr>
        <w:pBdr>
          <w:bottom w:val="single" w:color="000000" w:sz="6" w:space="1"/>
        </w:pBdr>
        <w:spacing w:after="120" w:before="240"/>
      </w:pPr>
      <w:r>
        <w:t xml:space="preserve"> </w:t>
      </w:r>
    </w:p>
    <w:p>
      <w:pPr>
        <w:spacing w:after="240"/>
      </w:pPr>
      <w:r>
        <w:rPr>
          <w:color w:val="666666"/>
          <w:sz w:val="18"/>
          <w:szCs w:val="18"/>
        </w:rPr>
        <w:t xml:space="preserve">Printed Name</w:t>
      </w:r>
    </w:p>
    <w:p>
      <w:pPr>
        <w:pBdr>
          <w:bottom w:val="single" w:color="000000" w:sz="6" w:space="1"/>
        </w:pBdr>
        <w:spacing w:after="120" w:before="240"/>
      </w:pPr>
      <w:r>
        <w:t xml:space="preserve"> </w:t>
      </w:r>
    </w:p>
    <w:p>
      <w:pPr>
        <w:spacing w:after="240"/>
      </w:pPr>
      <w:r>
        <w:rPr>
          <w:color w:val="666666"/>
          <w:sz w:val="18"/>
          <w:szCs w:val="18"/>
        </w:rPr>
        <w:t xml:space="preserve">Title</w:t>
      </w:r>
    </w:p>
    <w:p>
      <w:pPr>
        <w:pBdr>
          <w:bottom w:val="single" w:color="000000" w:sz="6" w:space="1"/>
        </w:pBdr>
        <w:spacing w:after="120" w:before="240"/>
      </w:pPr>
      <w:r>
        <w:t xml:space="preserve"> </w:t>
      </w:r>
    </w:p>
    <w:p>
      <w:pPr>
        <w:spacing w:after="240"/>
      </w:pPr>
      <w:r>
        <w:rPr>
          <w:color w:val="666666"/>
          <w:sz w:val="18"/>
          <w:szCs w:val="18"/>
        </w:rPr>
        <w:t xml:space="preserve">Company Name</w:t>
      </w:r>
    </w:p>
    <w:p>
      <w:pPr>
        <w:pBdr>
          <w:bottom w:val="single" w:color="000000" w:sz="6" w:space="1"/>
        </w:pBdr>
        <w:spacing w:after="120" w:before="240"/>
      </w:pPr>
      <w:r>
        <w:t xml:space="preserve"> </w:t>
      </w:r>
    </w:p>
    <w:p>
      <w:pPr>
        <w:spacing w:after="240"/>
      </w:pPr>
      <w:r>
        <w:rPr>
          <w:color w:val="666666"/>
          <w:sz w:val="18"/>
          <w:szCs w:val="18"/>
        </w:rPr>
        <w:t xml:space="preserve">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Today Capital Group, now operating as Guide Funding Group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F172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172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Build Services Agreement</dc:title>
  <dc:creator>Today Capital Group</dc:creator>
  <cp:lastModifiedBy>Un-named</cp:lastModifiedBy>
  <cp:revision>1</cp:revision>
  <dcterms:created xsi:type="dcterms:W3CDTF">2026-05-29T18:44:36.834Z</dcterms:created>
  <dcterms:modified xsi:type="dcterms:W3CDTF">2026-05-29T18:44:36.834Z</dcterms:modified>
</cp:coreProperties>
</file>

<file path=docProps/custom.xml><?xml version="1.0" encoding="utf-8"?>
<Properties xmlns="http://schemas.openxmlformats.org/officeDocument/2006/custom-properties" xmlns:vt="http://schemas.openxmlformats.org/officeDocument/2006/docPropsVTypes"/>
</file>