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A3A6B"/>
          <w:sz w:val="20"/>
          <w:szCs w:val="20"/>
        </w:rPr>
        <w:t xml:space="preserve">REPUBLIQUE DE COTE D'IVOIRE</w:t>
      </w:r>
    </w:p>
    <w:p>
      <w:pPr>
        <w:spacing w:after="200" w:before="0"/>
        <w:jc w:val="center"/>
      </w:pPr>
      <w:r>
        <w:rPr>
          <w:rFonts w:ascii="Arial" w:cs="Arial" w:eastAsia="Arial" w:hAnsi="Arial"/>
          <w:i/>
          <w:iCs/>
          <w:color w:val="666666"/>
          <w:sz w:val="18"/>
          <w:szCs w:val="18"/>
        </w:rPr>
        <w:t xml:space="preserve">Union - Discipline - Travail</w:t>
      </w:r>
    </w:p>
    <w:p>
      <w:pPr>
        <w:pBdr>
          <w:bottom w:val="single" w:color="1A3A6B" w:sz="8" w:space="1"/>
        </w:pBdr>
        <w:spacing w:after="80" w:before="80"/>
      </w:pPr>
    </w:p>
    <w:p>
      <w:pPr>
        <w:spacing w:after="80" w:before="80"/>
      </w:pPr>
      <w:r>
        <w:t xml:space="preserve"/>
      </w:r>
    </w:p>
    <w:p>
      <w:pPr>
        <w:spacing w:after="80" w:before="120"/>
        <w:jc w:val="center"/>
      </w:pPr>
      <w:r>
        <w:rPr>
          <w:rFonts w:ascii="Arial" w:cs="Arial" w:eastAsia="Arial" w:hAnsi="Arial"/>
          <w:b/>
          <w:bCs/>
          <w:color w:val="1A3A6B"/>
          <w:sz w:val="44"/>
          <w:szCs w:val="44"/>
        </w:rPr>
        <w:t xml:space="preserve">NOTE DE SYNTHESE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6B" w:val="clear"/>
            <w:tcMar>
              <w:top w:type="dxa" w:w="200"/>
              <w:left w:type="dxa" w:w="360"/>
              <w:bottom w:type="dxa" w:w="200"/>
              <w:right w:type="dxa" w:w="360"/>
            </w:tcMar>
          </w:tcPr>
          <w:p>
            <w:pPr>
              <w:spacing w:after="60" w:before="0"/>
              <w:jc w:val="center"/>
            </w:pPr>
            <w:r>
              <w:rPr>
                <w:rFonts w:ascii="Arial" w:cs="Arial" w:eastAsia="Arial" w:hAnsi="Arial"/>
                <w:b/>
                <w:bCs/>
                <w:color w:val="FFFFFF"/>
                <w:sz w:val="30"/>
                <w:szCs w:val="30"/>
              </w:rPr>
              <w:t xml:space="preserve">Plateforme Nationale Intelligente de Gestion</w:t>
            </w:r>
          </w:p>
          <w:p>
            <w:pPr>
              <w:spacing w:after="80" w:before="0"/>
              <w:jc w:val="center"/>
            </w:pPr>
            <w:r>
              <w:rPr>
                <w:rFonts w:ascii="Arial" w:cs="Arial" w:eastAsia="Arial" w:hAnsi="Arial"/>
                <w:b/>
                <w:bCs/>
                <w:color w:val="FFFFFF"/>
                <w:sz w:val="30"/>
                <w:szCs w:val="30"/>
              </w:rPr>
              <w:t xml:space="preserve">et de Tracabilite des Forces de Securite</w:t>
            </w:r>
          </w:p>
          <w:p>
            <w:pPr>
              <w:spacing w:after="60" w:before="0"/>
              <w:jc w:val="center"/>
            </w:pPr>
            <w:r>
              <w:rPr>
                <w:rFonts w:ascii="Arial" w:cs="Arial" w:eastAsia="Arial" w:hAnsi="Arial"/>
                <w:b/>
                <w:bCs/>
                <w:color w:val="FFD700"/>
                <w:sz w:val="36"/>
                <w:szCs w:val="36"/>
              </w:rPr>
              <w:t xml:space="preserve">PNIGT-FS</w:t>
            </w:r>
          </w:p>
          <w:p>
            <w:pPr>
              <w:spacing w:after="0" w:before="0"/>
              <w:jc w:val="center"/>
            </w:pPr>
            <w:r>
              <w:rPr>
                <w:rFonts w:ascii="Arial" w:cs="Arial" w:eastAsia="Arial" w:hAnsi="Arial"/>
                <w:i/>
                <w:iCs/>
                <w:color w:val="EAF2FB"/>
                <w:sz w:val="22"/>
                <w:szCs w:val="22"/>
              </w:rPr>
              <w:t xml:space="preserve">Digitalisation de l'Administration Publique — Cas de la Cote d'Ivoire</w:t>
            </w:r>
          </w:p>
        </w:tc>
      </w:tr>
    </w:tbl>
    <w:p>
      <w:pPr>
        <w:spacing w:after="80" w:before="80"/>
      </w:pPr>
      <w:r>
        <w:t xml:space="preserve"/>
      </w:r>
    </w:p>
    <w:p>
      <w:pPr>
        <w:pBdr>
          <w:bottom w:val="single" w:color="D0D8E4" w:sz="8" w:space="1"/>
        </w:pBdr>
        <w:spacing w:after="80" w:before="80"/>
      </w:pP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6B" w:val="clear"/>
            <w:tcMar>
              <w:top w:type="dxa" w:w="160"/>
              <w:left w:type="dxa" w:w="160"/>
              <w:bottom w:type="dxa" w:w="160"/>
              <w:right w:type="dxa" w:w="160"/>
            </w:tcMar>
          </w:tcPr>
          <w:p>
            <w:pPr>
              <w:spacing w:after="60" w:before="0"/>
              <w:jc w:val="center"/>
            </w:pPr>
            <w:r>
              <w:rPr>
                <w:rFonts w:ascii="Arial" w:cs="Arial" w:eastAsia="Arial" w:hAnsi="Arial"/>
                <w:b/>
                <w:bCs/>
                <w:color w:val="FFFFFF"/>
                <w:sz w:val="36"/>
                <w:szCs w:val="36"/>
              </w:rPr>
              <w:t xml:space="preserve">60 000+</w:t>
            </w:r>
          </w:p>
          <w:p>
            <w:pPr>
              <w:spacing w:after="0" w:before="0"/>
              <w:jc w:val="center"/>
            </w:pPr>
            <w:r>
              <w:rPr>
                <w:rFonts w:ascii="Arial" w:cs="Arial" w:eastAsia="Arial" w:hAnsi="Arial"/>
                <w:color w:val="EAF2FB"/>
                <w:sz w:val="18"/>
                <w:szCs w:val="18"/>
              </w:rPr>
              <w:t xml:space="preserve">Agents concernes</w:t>
            </w:r>
          </w:p>
        </w:tc>
        <w:tc>
          <w:tcPr>
            <w:tcW w:type="dxa" w:w="2340"/>
            <w:tcBorders>
              <w:top w:val="single" w:color="CCCCCC" w:sz="1"/>
              <w:left w:val="single" w:color="CCCCCC" w:sz="1"/>
              <w:bottom w:val="single" w:color="CCCCCC" w:sz="1"/>
              <w:right w:val="single" w:color="CCCCCC" w:sz="1"/>
            </w:tcBorders>
            <w:shd w:fill="2E6DA4" w:val="clear"/>
            <w:tcMar>
              <w:top w:type="dxa" w:w="160"/>
              <w:left w:type="dxa" w:w="160"/>
              <w:bottom w:type="dxa" w:w="160"/>
              <w:right w:type="dxa" w:w="160"/>
            </w:tcMar>
          </w:tcPr>
          <w:p>
            <w:pPr>
              <w:spacing w:after="60" w:before="0"/>
              <w:jc w:val="center"/>
            </w:pPr>
            <w:r>
              <w:rPr>
                <w:rFonts w:ascii="Arial" w:cs="Arial" w:eastAsia="Arial" w:hAnsi="Arial"/>
                <w:b/>
                <w:bCs/>
                <w:color w:val="FFFFFF"/>
                <w:sz w:val="36"/>
                <w:szCs w:val="36"/>
              </w:rPr>
              <w:t xml:space="preserve">4</w:t>
            </w:r>
          </w:p>
          <w:p>
            <w:pPr>
              <w:spacing w:after="0" w:before="0"/>
              <w:jc w:val="center"/>
            </w:pPr>
            <w:r>
              <w:rPr>
                <w:rFonts w:ascii="Arial" w:cs="Arial" w:eastAsia="Arial" w:hAnsi="Arial"/>
                <w:color w:val="EAF2FB"/>
                <w:sz w:val="18"/>
                <w:szCs w:val="18"/>
              </w:rPr>
              <w:t xml:space="preserve">Corps de securite</w:t>
            </w:r>
          </w:p>
        </w:tc>
        <w:tc>
          <w:tcPr>
            <w:tcW w:type="dxa" w:w="2340"/>
            <w:tcBorders>
              <w:top w:val="single" w:color="CCCCCC" w:sz="1"/>
              <w:left w:val="single" w:color="CCCCCC" w:sz="1"/>
              <w:bottom w:val="single" w:color="CCCCCC" w:sz="1"/>
              <w:right w:val="single" w:color="CCCCCC" w:sz="1"/>
            </w:tcBorders>
            <w:shd w:fill="1A3A6B" w:val="clear"/>
            <w:tcMar>
              <w:top w:type="dxa" w:w="160"/>
              <w:left w:type="dxa" w:w="160"/>
              <w:bottom w:type="dxa" w:w="160"/>
              <w:right w:type="dxa" w:w="160"/>
            </w:tcMar>
          </w:tcPr>
          <w:p>
            <w:pPr>
              <w:spacing w:after="60" w:before="0"/>
              <w:jc w:val="center"/>
            </w:pPr>
            <w:r>
              <w:rPr>
                <w:rFonts w:ascii="Arial" w:cs="Arial" w:eastAsia="Arial" w:hAnsi="Arial"/>
                <w:b/>
                <w:bCs/>
                <w:color w:val="FFFFFF"/>
                <w:sz w:val="36"/>
                <w:szCs w:val="36"/>
              </w:rPr>
              <w:t xml:space="preserve">14 mois</w:t>
            </w:r>
          </w:p>
          <w:p>
            <w:pPr>
              <w:spacing w:after="0" w:before="0"/>
              <w:jc w:val="center"/>
            </w:pPr>
            <w:r>
              <w:rPr>
                <w:rFonts w:ascii="Arial" w:cs="Arial" w:eastAsia="Arial" w:hAnsi="Arial"/>
                <w:color w:val="EAF2FB"/>
                <w:sz w:val="18"/>
                <w:szCs w:val="18"/>
              </w:rPr>
              <w:t xml:space="preserve">Duree du projet</w:t>
            </w:r>
          </w:p>
        </w:tc>
        <w:tc>
          <w:tcPr>
            <w:tcW w:type="dxa" w:w="2340"/>
            <w:tcBorders>
              <w:top w:val="single" w:color="CCCCCC" w:sz="1"/>
              <w:left w:val="single" w:color="CCCCCC" w:sz="1"/>
              <w:bottom w:val="single" w:color="CCCCCC" w:sz="1"/>
              <w:right w:val="single" w:color="CCCCCC" w:sz="1"/>
            </w:tcBorders>
            <w:shd w:fill="2E6DA4" w:val="clear"/>
            <w:tcMar>
              <w:top w:type="dxa" w:w="160"/>
              <w:left w:type="dxa" w:w="160"/>
              <w:bottom w:type="dxa" w:w="160"/>
              <w:right w:type="dxa" w:w="160"/>
            </w:tcMar>
          </w:tcPr>
          <w:p>
            <w:pPr>
              <w:spacing w:after="60" w:before="0"/>
              <w:jc w:val="center"/>
            </w:pPr>
            <w:r>
              <w:rPr>
                <w:rFonts w:ascii="Arial" w:cs="Arial" w:eastAsia="Arial" w:hAnsi="Arial"/>
                <w:b/>
                <w:bCs/>
                <w:color w:val="FFFFFF"/>
                <w:sz w:val="36"/>
                <w:szCs w:val="36"/>
              </w:rPr>
              <w:t xml:space="preserve">10+</w:t>
            </w:r>
          </w:p>
          <w:p>
            <w:pPr>
              <w:spacing w:after="0" w:before="0"/>
              <w:jc w:val="center"/>
            </w:pPr>
            <w:r>
              <w:rPr>
                <w:rFonts w:ascii="Arial" w:cs="Arial" w:eastAsia="Arial" w:hAnsi="Arial"/>
                <w:color w:val="EAF2FB"/>
                <w:sz w:val="18"/>
                <w:szCs w:val="18"/>
              </w:rPr>
              <w:t xml:space="preserve">Modules fonctionnels</w:t>
            </w:r>
          </w:p>
        </w:tc>
      </w:tr>
    </w:tbl>
    <w:p>
      <w:pPr>
        <w:spacing w:after="80" w:before="80"/>
      </w:pPr>
      <w:r>
        <w:t xml:space="preserve"/>
      </w:r>
    </w:p>
    <w:p>
      <w:pPr>
        <w:shd w:fill="1A3A6B" w:val="clear"/>
        <w:spacing w:after="180" w:before="300"/>
        <w:ind w:left="180"/>
      </w:pPr>
      <w:r>
        <w:rPr>
          <w:rFonts w:ascii="Arial" w:cs="Arial" w:eastAsia="Arial" w:hAnsi="Arial"/>
          <w:b/>
          <w:bCs/>
          <w:color w:val="FFFFFF"/>
          <w:sz w:val="24"/>
          <w:szCs w:val="24"/>
        </w:rPr>
        <w:t xml:space="preserve">1. POURQUOI CE PROJET ? — LA PROBLEMATIQUE</w:t>
      </w:r>
    </w:p>
    <w:p>
      <w:pPr>
        <w:spacing w:after="100" w:before="100"/>
        <w:jc w:val="both"/>
      </w:pPr>
      <w:r>
        <w:rPr>
          <w:rFonts w:ascii="Arial" w:cs="Arial" w:eastAsia="Arial" w:hAnsi="Arial"/>
          <w:color w:val="2C2C2C"/>
          <w:sz w:val="22"/>
          <w:szCs w:val="22"/>
        </w:rPr>
        <w:t xml:space="preserve">La gestion administrative des forces de securite en Cote d'Ivoire repose encore largement sur des methodes fragmentees : dossiers papier, fichiers Excel isoles, archives physiques dispersees entre les corps, et systemes non interconnectes. Cette situation genere des risques majeurs pour l'Etat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CCCCC" w:sz="1"/>
              <w:left w:val="single" w:color="CCCCCC" w:sz="1"/>
              <w:bottom w:val="single" w:color="CCCCCC" w:sz="1"/>
              <w:right w:val="single" w:color="D0D8E4" w:sz="4"/>
            </w:tcBorders>
            <w:shd w:fill="EAF2FB" w:val="clear"/>
            <w:tcMar>
              <w:top w:type="dxa" w:w="120"/>
              <w:left w:type="dxa" w:w="180"/>
              <w:bottom w:type="dxa" w:w="120"/>
              <w:right w:type="dxa" w:w="180"/>
            </w:tcMar>
          </w:tcPr>
          <w:p>
            <w:pPr>
              <w:spacing w:after="80" w:before="0"/>
            </w:pPr>
            <w:r>
              <w:rPr>
                <w:rFonts w:ascii="Arial" w:cs="Arial" w:eastAsia="Arial" w:hAnsi="Arial"/>
                <w:b/>
                <w:bCs/>
                <w:color w:val="1A3A6B"/>
                <w:sz w:val="22"/>
                <w:szCs w:val="22"/>
              </w:rPr>
              <w:t xml:space="preserve">Situation actuelle</w:t>
            </w:r>
          </w:p>
          <w:p>
            <w:pPr>
              <w:pStyle w:val="ListParagraph"/>
              <w:numPr>
                <w:ilvl w:val="0"/>
                <w:numId w:val="2"/>
              </w:numPr>
              <w:spacing w:after="40" w:before="40"/>
            </w:pPr>
            <w:r>
              <w:rPr>
                <w:rFonts w:ascii="Arial" w:cs="Arial" w:eastAsia="Arial" w:hAnsi="Arial"/>
                <w:color w:val="2C2C2C"/>
                <w:sz w:val="21"/>
                <w:szCs w:val="21"/>
              </w:rPr>
              <w:t xml:space="preserve">Parcours des agents non traçables</w:t>
            </w:r>
          </w:p>
          <w:p>
            <w:pPr>
              <w:pStyle w:val="ListParagraph"/>
              <w:numPr>
                <w:ilvl w:val="0"/>
                <w:numId w:val="2"/>
              </w:numPr>
              <w:spacing w:after="40" w:before="40"/>
            </w:pPr>
            <w:r>
              <w:rPr>
                <w:rFonts w:ascii="Arial" w:cs="Arial" w:eastAsia="Arial" w:hAnsi="Arial"/>
                <w:color w:val="2C2C2C"/>
                <w:sz w:val="21"/>
                <w:szCs w:val="21"/>
              </w:rPr>
              <w:t xml:space="preserve">Risque eleve de falsification des dossiers</w:t>
            </w:r>
          </w:p>
          <w:p>
            <w:pPr>
              <w:pStyle w:val="ListParagraph"/>
              <w:numPr>
                <w:ilvl w:val="0"/>
                <w:numId w:val="2"/>
              </w:numPr>
              <w:spacing w:after="40" w:before="40"/>
            </w:pPr>
            <w:r>
              <w:rPr>
                <w:rFonts w:ascii="Arial" w:cs="Arial" w:eastAsia="Arial" w:hAnsi="Arial"/>
                <w:color w:val="2C2C2C"/>
                <w:sz w:val="21"/>
                <w:szCs w:val="21"/>
              </w:rPr>
              <w:t xml:space="preserve">Impossible de verifier un agent en temps reel</w:t>
            </w:r>
          </w:p>
          <w:p>
            <w:pPr>
              <w:pStyle w:val="ListParagraph"/>
              <w:numPr>
                <w:ilvl w:val="0"/>
                <w:numId w:val="2"/>
              </w:numPr>
              <w:spacing w:after="40" w:before="40"/>
            </w:pPr>
            <w:r>
              <w:rPr>
                <w:rFonts w:ascii="Arial" w:cs="Arial" w:eastAsia="Arial" w:hAnsi="Arial"/>
                <w:color w:val="2C2C2C"/>
                <w:sz w:val="21"/>
                <w:szCs w:val="21"/>
              </w:rPr>
              <w:t xml:space="preserve">Decisions RH sans base de donnees fiable</w:t>
            </w:r>
          </w:p>
          <w:p>
            <w:pPr>
              <w:pStyle w:val="ListParagraph"/>
              <w:numPr>
                <w:ilvl w:val="0"/>
                <w:numId w:val="2"/>
              </w:numPr>
              <w:spacing w:after="40" w:before="40"/>
            </w:pPr>
            <w:r>
              <w:rPr>
                <w:rFonts w:ascii="Arial" w:cs="Arial" w:eastAsia="Arial" w:hAnsi="Arial"/>
                <w:color w:val="2C2C2C"/>
                <w:sz w:val="21"/>
                <w:szCs w:val="21"/>
              </w:rPr>
              <w:t xml:space="preserve">Pertes economiques (agents fantomes, doublons)</w:t>
            </w:r>
          </w:p>
        </w:tc>
        <w:tc>
          <w:tcPr>
            <w:tcW w:type="dxa" w:w="4960"/>
            <w:tcBorders>
              <w:top w:val="single" w:color="CCCCCC" w:sz="1"/>
              <w:left w:val="single" w:color="D0D8E4" w:sz="4"/>
              <w:bottom w:val="single" w:color="CCCCCC" w:sz="1"/>
              <w:right w:val="single" w:color="CCCCCC" w:sz="1"/>
            </w:tcBorders>
            <w:shd w:fill="E8F5EE" w:val="clear"/>
            <w:tcMar>
              <w:top w:type="dxa" w:w="120"/>
              <w:left w:type="dxa" w:w="180"/>
              <w:bottom w:type="dxa" w:w="120"/>
              <w:right w:type="dxa" w:w="180"/>
            </w:tcMar>
          </w:tcPr>
          <w:p>
            <w:pPr>
              <w:spacing w:after="80" w:before="0"/>
            </w:pPr>
            <w:r>
              <w:rPr>
                <w:rFonts w:ascii="Arial" w:cs="Arial" w:eastAsia="Arial" w:hAnsi="Arial"/>
                <w:b/>
                <w:bCs/>
                <w:color w:val="1A7B4A"/>
                <w:sz w:val="22"/>
                <w:szCs w:val="22"/>
              </w:rPr>
              <w:t xml:space="preserve">Apres PNIGT-FS</w:t>
            </w:r>
          </w:p>
          <w:p>
            <w:pPr>
              <w:pStyle w:val="ListParagraph"/>
              <w:numPr>
                <w:ilvl w:val="0"/>
                <w:numId w:val="2"/>
              </w:numPr>
              <w:spacing w:after="40" w:before="40"/>
            </w:pPr>
            <w:r>
              <w:rPr>
                <w:rFonts w:ascii="Arial" w:cs="Arial" w:eastAsia="Arial" w:hAnsi="Arial"/>
                <w:color w:val="2C2C2C"/>
                <w:sz w:val="21"/>
                <w:szCs w:val="21"/>
              </w:rPr>
              <w:t xml:space="preserve">Matricule unique pour chaque agent</w:t>
            </w:r>
          </w:p>
          <w:p>
            <w:pPr>
              <w:pStyle w:val="ListParagraph"/>
              <w:numPr>
                <w:ilvl w:val="0"/>
                <w:numId w:val="2"/>
              </w:numPr>
              <w:spacing w:after="40" w:before="40"/>
            </w:pPr>
            <w:r>
              <w:rPr>
                <w:rFonts w:ascii="Arial" w:cs="Arial" w:eastAsia="Arial" w:hAnsi="Arial"/>
                <w:color w:val="2C2C2C"/>
                <w:sz w:val="21"/>
                <w:szCs w:val="21"/>
              </w:rPr>
              <w:t xml:space="preserve">Dossiers infalsifiables et auditables</w:t>
            </w:r>
          </w:p>
          <w:p>
            <w:pPr>
              <w:pStyle w:val="ListParagraph"/>
              <w:numPr>
                <w:ilvl w:val="0"/>
                <w:numId w:val="2"/>
              </w:numPr>
              <w:spacing w:after="40" w:before="40"/>
            </w:pPr>
            <w:r>
              <w:rPr>
                <w:rFonts w:ascii="Arial" w:cs="Arial" w:eastAsia="Arial" w:hAnsi="Arial"/>
                <w:color w:val="2C2C2C"/>
                <w:sz w:val="21"/>
                <w:szCs w:val="21"/>
              </w:rPr>
              <w:t xml:space="preserve">Verification en moins de 5 secondes</w:t>
            </w:r>
          </w:p>
          <w:p>
            <w:pPr>
              <w:pStyle w:val="ListParagraph"/>
              <w:numPr>
                <w:ilvl w:val="0"/>
                <w:numId w:val="2"/>
              </w:numPr>
              <w:spacing w:after="40" w:before="40"/>
            </w:pPr>
            <w:r>
              <w:rPr>
                <w:rFonts w:ascii="Arial" w:cs="Arial" w:eastAsia="Arial" w:hAnsi="Arial"/>
                <w:color w:val="2C2C2C"/>
                <w:sz w:val="21"/>
                <w:szCs w:val="21"/>
              </w:rPr>
              <w:t xml:space="preserve">Tableaux de bord decisionnels temps reel</w:t>
            </w:r>
          </w:p>
          <w:p>
            <w:pPr>
              <w:pStyle w:val="ListParagraph"/>
              <w:numPr>
                <w:ilvl w:val="0"/>
                <w:numId w:val="2"/>
              </w:numPr>
              <w:spacing w:after="40" w:before="40"/>
            </w:pPr>
            <w:r>
              <w:rPr>
                <w:rFonts w:ascii="Arial" w:cs="Arial" w:eastAsia="Arial" w:hAnsi="Arial"/>
                <w:color w:val="2C2C2C"/>
                <w:sz w:val="21"/>
                <w:szCs w:val="21"/>
              </w:rPr>
              <w:t xml:space="preserve">Elimination des doublons et fraudes</w:t>
            </w:r>
          </w:p>
        </w:tc>
      </w:tr>
    </w:tbl>
    <w:p>
      <w:pPr>
        <w:spacing w:after="80" w:before="80"/>
      </w:pPr>
      <w:r>
        <w:t xml:space="preserve"/>
      </w:r>
    </w:p>
    <w:p>
      <w:pPr>
        <w:spacing w:after="100" w:before="100"/>
        <w:jc w:val="both"/>
      </w:pPr>
      <w:r>
        <w:rPr>
          <w:rFonts w:ascii="Arial" w:cs="Arial" w:eastAsia="Arial" w:hAnsi="Arial"/>
          <w:color w:val="2C2C2C"/>
          <w:sz w:val="22"/>
          <w:szCs w:val="22"/>
        </w:rPr>
        <w:t xml:space="preserve">Ce projet repond directement aux objectifs de l'Agenda Digital 2030 de la Cote d'Ivoire, notamment l'Axe 2 (Transformation numerique de l'Etat) et l'Axe 4 (Securite des systemes d'information).</w:t>
      </w:r>
    </w:p>
    <w:p>
      <w:pPr>
        <w:spacing w:after="80" w:before="80"/>
      </w:pPr>
      <w:r>
        <w:t xml:space="preserve"/>
      </w:r>
    </w:p>
    <w:p>
      <w:pPr>
        <w:shd w:fill="1A3A6B" w:val="clear"/>
        <w:spacing w:after="180" w:before="300"/>
        <w:ind w:left="180"/>
      </w:pPr>
      <w:r>
        <w:rPr>
          <w:rFonts w:ascii="Arial" w:cs="Arial" w:eastAsia="Arial" w:hAnsi="Arial"/>
          <w:b/>
          <w:bCs/>
          <w:color w:val="FFFFFF"/>
          <w:sz w:val="24"/>
          <w:szCs w:val="24"/>
        </w:rPr>
        <w:t xml:space="preserve">2. QUOI ? — LA SOLUTION PROPOSEE</w:t>
      </w:r>
    </w:p>
    <w:p>
      <w:pPr>
        <w:spacing w:after="100" w:before="100"/>
        <w:jc w:val="both"/>
      </w:pPr>
      <w:r>
        <w:rPr>
          <w:rFonts w:ascii="Arial" w:cs="Arial" w:eastAsia="Arial" w:hAnsi="Arial"/>
          <w:color w:val="2C2C2C"/>
          <w:sz w:val="22"/>
          <w:szCs w:val="22"/>
        </w:rPr>
        <w:t xml:space="preserve">La PNIGT-FS est une plateforme web nationale centralisee, securisee et intelligente, qui suit le parcours complet d'un agent depuis son entree en ecole jusqu'a sa sortie du service. Elle est structuree en 11 modules fonctionnels complementaires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Gestion des agents</w:t>
            </w:r>
          </w:p>
        </w:tc>
        <w:tc>
          <w:tcPr>
            <w:tcW w:type="dxa" w:w="3120"/>
            <w:tcBorders>
              <w:top w:val="single" w:color="CCCCCC" w:sz="1"/>
              <w:left w:val="single" w:color="CCCCCC" w:sz="1"/>
              <w:bottom w:val="single" w:color="CCCCCC" w:sz="1"/>
              <w:right w:val="single" w:color="CCCCCC" w:sz="1"/>
            </w:tcBorders>
            <w:shd w:fill="2E6DA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Suivi de carriere</w:t>
            </w:r>
          </w:p>
        </w:tc>
        <w:tc>
          <w:tcPr>
            <w:tcW w:type="dxa" w:w="312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Gestion des affectations</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pPr>
              <w:jc w:val="center"/>
            </w:pPr>
            <w:r>
              <w:rPr>
                <w:rFonts w:ascii="Arial" w:cs="Arial" w:eastAsia="Arial" w:hAnsi="Arial"/>
                <w:color w:val="2C2C2C"/>
                <w:sz w:val="19"/>
                <w:szCs w:val="19"/>
              </w:rPr>
              <w:t xml:space="preserve">Identite unique et matricule infalsifiable</w:t>
            </w:r>
          </w:p>
        </w:tc>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pPr>
              <w:jc w:val="center"/>
            </w:pPr>
            <w:r>
              <w:rPr>
                <w:rFonts w:ascii="Arial" w:cs="Arial" w:eastAsia="Arial" w:hAnsi="Arial"/>
                <w:color w:val="2C2C2C"/>
                <w:sz w:val="19"/>
                <w:szCs w:val="19"/>
              </w:rPr>
              <w:t xml:space="preserve">Grades, formations, sanctions</w:t>
            </w:r>
          </w:p>
        </w:tc>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pPr>
              <w:jc w:val="center"/>
            </w:pPr>
            <w:r>
              <w:rPr>
                <w:rFonts w:ascii="Arial" w:cs="Arial" w:eastAsia="Arial" w:hAnsi="Arial"/>
                <w:color w:val="2C2C2C"/>
                <w:sz w:val="19"/>
                <w:szCs w:val="19"/>
              </w:rPr>
              <w:t xml:space="preserve">Historique complet des mouvements</w:t>
            </w:r>
          </w:p>
        </w:tc>
      </w:tr>
      <w:tr>
        <w:tc>
          <w:tcPr>
            <w:tcW w:type="dxa" w:w="312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Sante &amp; Aptitude</w:t>
            </w:r>
          </w:p>
        </w:tc>
        <w:tc>
          <w:tcPr>
            <w:tcW w:type="dxa" w:w="3120"/>
            <w:tcBorders>
              <w:top w:val="single" w:color="CCCCCC" w:sz="1"/>
              <w:left w:val="single" w:color="CCCCCC" w:sz="1"/>
              <w:bottom w:val="single" w:color="CCCCCC" w:sz="1"/>
              <w:right w:val="single" w:color="CCCCCC" w:sz="1"/>
            </w:tcBorders>
            <w:shd w:fill="2E6DA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Tableaux de bord &amp; Stats</w:t>
            </w:r>
          </w:p>
        </w:tc>
        <w:tc>
          <w:tcPr>
            <w:tcW w:type="dxa" w:w="3120"/>
            <w:tcBorders>
              <w:top w:val="single" w:color="CCCCCC" w:sz="1"/>
              <w:left w:val="single" w:color="CCCCCC" w:sz="1"/>
              <w:bottom w:val="single" w:color="CCCCCC" w:sz="1"/>
              <w:right w:val="single" w:color="CCCCCC" w:sz="1"/>
            </w:tcBorders>
            <w:shd w:fill="C810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Intelligence Artificielle</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pPr>
              <w:jc w:val="center"/>
            </w:pPr>
            <w:r>
              <w:rPr>
                <w:rFonts w:ascii="Arial" w:cs="Arial" w:eastAsia="Arial" w:hAnsi="Arial"/>
                <w:color w:val="2C2C2C"/>
                <w:sz w:val="19"/>
                <w:szCs w:val="19"/>
              </w:rPr>
              <w:t xml:space="preserve">Donnees medicales securisees</w:t>
            </w:r>
          </w:p>
        </w:tc>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pPr>
              <w:jc w:val="center"/>
            </w:pPr>
            <w:r>
              <w:rPr>
                <w:rFonts w:ascii="Arial" w:cs="Arial" w:eastAsia="Arial" w:hAnsi="Arial"/>
                <w:color w:val="2C2C2C"/>
                <w:sz w:val="19"/>
                <w:szCs w:val="19"/>
              </w:rPr>
              <w:t xml:space="preserve">Rapports exportables PDF/Excel</w:t>
            </w:r>
          </w:p>
        </w:tc>
        <w:tc>
          <w:tcPr>
            <w:tcW w:type="dxa" w:w="3120"/>
            <w:tcBorders>
              <w:top w:val="single" w:color="CCCCCC" w:sz="1"/>
              <w:left w:val="single" w:color="CCCCCC" w:sz="1"/>
              <w:bottom w:val="single" w:color="CCCCCC" w:sz="1"/>
              <w:right w:val="single" w:color="CCCCCC" w:sz="1"/>
            </w:tcBorders>
            <w:shd w:fill="FDE8E8" w:val="clear"/>
            <w:tcMar>
              <w:top w:type="dxa" w:w="80"/>
              <w:left w:type="dxa" w:w="140"/>
              <w:bottom w:type="dxa" w:w="80"/>
              <w:right w:type="dxa" w:w="140"/>
            </w:tcMar>
          </w:tcPr>
          <w:p>
            <w:pPr>
              <w:jc w:val="center"/>
            </w:pPr>
            <w:r>
              <w:rPr>
                <w:rFonts w:ascii="Arial" w:cs="Arial" w:eastAsia="Arial" w:hAnsi="Arial"/>
                <w:color w:val="2C2C2C"/>
                <w:sz w:val="19"/>
                <w:szCs w:val="19"/>
              </w:rPr>
              <w:t xml:space="preserve">Alertes predictives &amp; anomalies</w:t>
            </w:r>
          </w:p>
        </w:tc>
      </w:tr>
    </w:tbl>
    <w:p>
      <w:pPr>
        <w:spacing w:after="80" w:before="80"/>
      </w:pPr>
      <w:r>
        <w:t xml:space="preserve"/>
      </w:r>
    </w:p>
    <w:p>
      <w:pPr>
        <w:shd w:fill="1A3A6B" w:val="clear"/>
        <w:spacing w:after="180" w:before="300"/>
        <w:ind w:left="180"/>
      </w:pPr>
      <w:r>
        <w:rPr>
          <w:rFonts w:ascii="Arial" w:cs="Arial" w:eastAsia="Arial" w:hAnsi="Arial"/>
          <w:b/>
          <w:bCs/>
          <w:color w:val="FFFFFF"/>
          <w:sz w:val="24"/>
          <w:szCs w:val="24"/>
        </w:rPr>
        <w:t xml:space="preserve">3. COMMENT ? — ARCHITECTURE ET TECHNOLOGIES</w:t>
      </w:r>
    </w:p>
    <w:p>
      <w:pPr>
        <w:spacing w:after="100" w:before="100"/>
        <w:jc w:val="both"/>
      </w:pPr>
      <w:r>
        <w:rPr>
          <w:rFonts w:ascii="Arial" w:cs="Arial" w:eastAsia="Arial" w:hAnsi="Arial"/>
          <w:color w:val="2C2C2C"/>
          <w:sz w:val="22"/>
          <w:szCs w:val="22"/>
        </w:rPr>
        <w:t xml:space="preserve">La PNIGT-FS repose sur une architecture microservices moderne, securisee et interoperable. Chaque module est independant, deployable separement, et communicant via des API REST securisees. Les principaux choix technologiques recommandes sont :</w:t>
      </w:r>
    </w:p>
    <w:p>
      <w:pPr>
        <w:spacing w:after="80" w:before="80"/>
      </w:pPr>
      <w:r>
        <w:t xml:space="preserve"/>
      </w:r>
    </w:p>
    <w:p>
      <w:pPr>
        <w:pStyle w:val="ListParagraph"/>
        <w:numPr>
          <w:ilvl w:val="0"/>
          <w:numId w:val="2"/>
        </w:numPr>
        <w:spacing w:after="60" w:before="60"/>
      </w:pPr>
      <w:r>
        <w:rPr>
          <w:rFonts w:ascii="Arial" w:cs="Arial" w:eastAsia="Arial" w:hAnsi="Arial"/>
          <w:b w:val="false"/>
          <w:bCs w:val="false"/>
          <w:color w:val="2C2C2C"/>
          <w:sz w:val="22"/>
          <w:szCs w:val="22"/>
        </w:rPr>
        <w:t xml:space="preserve">Frontend : React.js ou Vue.js avec une application mobile Progressive Web App (PWA)</w:t>
      </w:r>
    </w:p>
    <w:p>
      <w:pPr>
        <w:pStyle w:val="ListParagraph"/>
        <w:numPr>
          <w:ilvl w:val="0"/>
          <w:numId w:val="2"/>
        </w:numPr>
        <w:spacing w:after="60" w:before="60"/>
      </w:pPr>
      <w:r>
        <w:rPr>
          <w:rFonts w:ascii="Arial" w:cs="Arial" w:eastAsia="Arial" w:hAnsi="Arial"/>
          <w:b w:val="false"/>
          <w:bCs w:val="false"/>
          <w:color w:val="2C2C2C"/>
          <w:sz w:val="22"/>
          <w:szCs w:val="22"/>
        </w:rPr>
        <w:t xml:space="preserve">Backend : Node.js ou Spring Boot avec une API Gateway centralisee</w:t>
      </w:r>
    </w:p>
    <w:p>
      <w:pPr>
        <w:pStyle w:val="ListParagraph"/>
        <w:numPr>
          <w:ilvl w:val="0"/>
          <w:numId w:val="2"/>
        </w:numPr>
        <w:spacing w:after="60" w:before="60"/>
      </w:pPr>
      <w:r>
        <w:rPr>
          <w:rFonts w:ascii="Arial" w:cs="Arial" w:eastAsia="Arial" w:hAnsi="Arial"/>
          <w:b w:val="false"/>
          <w:bCs w:val="false"/>
          <w:color w:val="2C2C2C"/>
          <w:sz w:val="22"/>
          <w:szCs w:val="22"/>
        </w:rPr>
        <w:t xml:space="preserve">Base de donnees : PostgreSQL (donnees structurees) + MinIO (stockage documentaire)</w:t>
      </w:r>
    </w:p>
    <w:p>
      <w:pPr>
        <w:pStyle w:val="ListParagraph"/>
        <w:numPr>
          <w:ilvl w:val="0"/>
          <w:numId w:val="2"/>
        </w:numPr>
        <w:spacing w:after="60" w:before="60"/>
      </w:pPr>
      <w:r>
        <w:rPr>
          <w:rFonts w:ascii="Arial" w:cs="Arial" w:eastAsia="Arial" w:hAnsi="Arial"/>
          <w:b w:val="false"/>
          <w:bCs w:val="false"/>
          <w:color w:val="2C2C2C"/>
          <w:sz w:val="22"/>
          <w:szCs w:val="22"/>
        </w:rPr>
        <w:t xml:space="preserve">Securite : Chiffrement TLS 1.3 en transit, AES-256 au repos, authentification 2FA</w:t>
      </w:r>
    </w:p>
    <w:p>
      <w:pPr>
        <w:pStyle w:val="ListParagraph"/>
        <w:numPr>
          <w:ilvl w:val="0"/>
          <w:numId w:val="2"/>
        </w:numPr>
        <w:spacing w:after="60" w:before="60"/>
      </w:pPr>
      <w:r>
        <w:rPr>
          <w:rFonts w:ascii="Arial" w:cs="Arial" w:eastAsia="Arial" w:hAnsi="Arial"/>
          <w:b w:val="false"/>
          <w:bCs w:val="false"/>
          <w:color w:val="2C2C2C"/>
          <w:sz w:val="22"/>
          <w:szCs w:val="22"/>
        </w:rPr>
        <w:t xml:space="preserve">Infrastructure : Hebergement sur cloud prive national ou datacenter de l'Etat</w:t>
      </w:r>
    </w:p>
    <w:p>
      <w:pPr>
        <w:pStyle w:val="ListParagraph"/>
        <w:numPr>
          <w:ilvl w:val="0"/>
          <w:numId w:val="2"/>
        </w:numPr>
        <w:spacing w:after="60" w:before="60"/>
      </w:pPr>
      <w:r>
        <w:rPr>
          <w:rFonts w:ascii="Arial" w:cs="Arial" w:eastAsia="Arial" w:hAnsi="Arial"/>
          <w:b w:val="false"/>
          <w:bCs w:val="false"/>
          <w:color w:val="2C2C2C"/>
          <w:sz w:val="22"/>
          <w:szCs w:val="22"/>
        </w:rPr>
        <w:t xml:space="preserve">IA : Algorithmes de detection d'anomalies et de prediction integres en backend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24"/>
              <w:bottom w:val="single" w:color="2E6DA4" w:sz="2"/>
              <w:right w:val="none" w:color="FFFFFF" w:sz="0"/>
            </w:tcBorders>
            <w:shd w:fill="EAF2FB" w:val="clear"/>
            <w:tcMar>
              <w:top w:type="dxa" w:w="140"/>
              <w:left w:type="dxa" w:w="260"/>
              <w:bottom w:type="dxa" w:w="140"/>
              <w:right w:type="dxa" w:w="260"/>
            </w:tcMar>
          </w:tcPr>
          <w:p>
            <w:pPr>
              <w:spacing w:after="60" w:before="0"/>
            </w:pPr>
            <w:r>
              <w:rPr>
                <w:rFonts w:ascii="Arial" w:cs="Arial" w:eastAsia="Arial" w:hAnsi="Arial"/>
                <w:b/>
                <w:bCs/>
                <w:color w:val="2E6DA4"/>
                <w:sz w:val="22"/>
                <w:szCs w:val="22"/>
              </w:rPr>
              <w:t xml:space="preserve">Innovations differenciantes</w:t>
            </w:r>
          </w:p>
          <w:p>
            <w:pPr>
              <w:spacing w:after="0" w:before="0"/>
              <w:jc w:val="both"/>
            </w:pPr>
            <w:r>
              <w:rPr>
                <w:rFonts w:ascii="Arial" w:cs="Arial" w:eastAsia="Arial" w:hAnsi="Arial"/>
                <w:color w:val="2C2C2C"/>
                <w:sz w:val="22"/>
                <w:szCs w:val="22"/>
              </w:rPr>
              <w:t xml:space="preserve">1) Matricule biometrique unique lie a un QR Code sur la carte professionnelle  |  2) Application mobile securisee pour les commandants de terrain  |  3) IA embarquee pour la detection d'anomalies et les alertes predictives  |  4) Architecture ouverte pour l'interconnexion future avec la paie et l'etat civil national</w:t>
            </w:r>
          </w:p>
        </w:tc>
      </w:tr>
    </w:tbl>
    <w:p>
      <w:pPr>
        <w:spacing w:after="80" w:before="80"/>
      </w:pPr>
      <w:r>
        <w:t xml:space="preserve"/>
      </w:r>
    </w:p>
    <w:p>
      <w:pPr>
        <w:shd w:fill="1A3A6B" w:val="clear"/>
        <w:spacing w:after="180" w:before="300"/>
        <w:ind w:left="180"/>
      </w:pPr>
      <w:r>
        <w:rPr>
          <w:rFonts w:ascii="Arial" w:cs="Arial" w:eastAsia="Arial" w:hAnsi="Arial"/>
          <w:b/>
          <w:bCs/>
          <w:color w:val="FFFFFF"/>
          <w:sz w:val="24"/>
          <w:szCs w:val="24"/>
        </w:rPr>
        <w:t xml:space="preserve">4. POUR QUI ? — BENEFICIAIRES ET ACTEURS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c>
          <w:tcPr>
            <w:tcW w:type="dxa" w:w="2000"/>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Categorie</w:t>
            </w:r>
          </w:p>
        </w:tc>
        <w:tc>
          <w:tcPr>
            <w:tcW w:type="dxa" w:w="3880"/>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Acteurs</w:t>
            </w:r>
          </w:p>
        </w:tc>
        <w:tc>
          <w:tcPr>
            <w:tcW w:type="dxa" w:w="3480"/>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Benefice principal</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3A6B"/>
                <w:sz w:val="20"/>
                <w:szCs w:val="20"/>
              </w:rPr>
              <w:t xml:space="preserve">Institutionnels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Ministere Defense, Ministere Interieur, DRH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Pilotage strategique et gouvernance</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3A6B"/>
                <w:sz w:val="20"/>
                <w:szCs w:val="20"/>
              </w:rPr>
              <w:t xml:space="preserve">Operationnels</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RH, Commandants, Services medicaux</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Efficacite et rapidite de gestion</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3A6B"/>
                <w:sz w:val="20"/>
                <w:szCs w:val="20"/>
              </w:rPr>
              <w:t xml:space="preserve">Directs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60 000+ agents des forces de securite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Transparence et acces a son dossier</w:t>
            </w:r>
          </w:p>
        </w:tc>
      </w:tr>
    </w:tbl>
    <w:p>
      <w:pPr>
        <w:spacing w:after="80" w:before="80"/>
      </w:pPr>
      <w:r>
        <w:t xml:space="preserve"/>
      </w:r>
    </w:p>
    <w:p>
      <w:r>
        <w:br w:type="page"/>
      </w:r>
    </w:p>
    <w:p>
      <w:pPr>
        <w:shd w:fill="1A3A6B" w:val="clear"/>
        <w:spacing w:after="180" w:before="300"/>
        <w:ind w:left="180"/>
      </w:pPr>
      <w:r>
        <w:rPr>
          <w:rFonts w:ascii="Arial" w:cs="Arial" w:eastAsia="Arial" w:hAnsi="Arial"/>
          <w:b/>
          <w:bCs/>
          <w:color w:val="FFFFFF"/>
          <w:sz w:val="24"/>
          <w:szCs w:val="24"/>
        </w:rPr>
        <w:t xml:space="preserve">5. ANALYSE SWOT DU PROJET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E" w:val="clear"/>
            <w:tcMar>
              <w:top w:type="dxa" w:w="120"/>
              <w:left w:type="dxa" w:w="160"/>
              <w:bottom w:type="dxa" w:w="120"/>
              <w:right w:type="dxa" w:w="160"/>
            </w:tcMar>
          </w:tcPr>
          <w:p>
            <w:pPr>
              <w:spacing w:after="80" w:before="0"/>
            </w:pPr>
            <w:r>
              <w:rPr>
                <w:rFonts w:ascii="Arial" w:cs="Arial" w:eastAsia="Arial" w:hAnsi="Arial"/>
                <w:b/>
                <w:bCs/>
                <w:color w:val="1A7B4A"/>
                <w:sz w:val="22"/>
                <w:szCs w:val="22"/>
              </w:rPr>
              <w:t xml:space="preserve">FORCES</w:t>
            </w:r>
          </w:p>
          <w:p>
            <w:pPr>
              <w:pStyle w:val="ListParagraph"/>
              <w:numPr>
                <w:ilvl w:val="0"/>
                <w:numId w:val="2"/>
              </w:numPr>
              <w:spacing w:after="40" w:before="40"/>
            </w:pPr>
            <w:r>
              <w:rPr>
                <w:rFonts w:ascii="Arial" w:cs="Arial" w:eastAsia="Arial" w:hAnsi="Arial"/>
                <w:color w:val="2C2C2C"/>
                <w:sz w:val="20"/>
                <w:szCs w:val="20"/>
              </w:rPr>
              <w:t xml:space="preserve">Besoin operationnel reel et urgent</w:t>
            </w:r>
          </w:p>
          <w:p>
            <w:pPr>
              <w:pStyle w:val="ListParagraph"/>
              <w:numPr>
                <w:ilvl w:val="0"/>
                <w:numId w:val="2"/>
              </w:numPr>
              <w:spacing w:after="40" w:before="40"/>
            </w:pPr>
            <w:r>
              <w:rPr>
                <w:rFonts w:ascii="Arial" w:cs="Arial" w:eastAsia="Arial" w:hAnsi="Arial"/>
                <w:color w:val="2C2C2C"/>
                <w:sz w:val="20"/>
                <w:szCs w:val="20"/>
              </w:rPr>
              <w:t xml:space="preserve">Soutien institutionnel potentiel fort</w:t>
            </w:r>
          </w:p>
          <w:p>
            <w:pPr>
              <w:pStyle w:val="ListParagraph"/>
              <w:numPr>
                <w:ilvl w:val="0"/>
                <w:numId w:val="2"/>
              </w:numPr>
              <w:spacing w:after="40" w:before="40"/>
            </w:pPr>
            <w:r>
              <w:rPr>
                <w:rFonts w:ascii="Arial" w:cs="Arial" w:eastAsia="Arial" w:hAnsi="Arial"/>
                <w:color w:val="2C2C2C"/>
                <w:sz w:val="20"/>
                <w:szCs w:val="20"/>
              </w:rPr>
              <w:t xml:space="preserve">Architecture modulaire evolutive</w:t>
            </w:r>
          </w:p>
          <w:p>
            <w:pPr>
              <w:pStyle w:val="ListParagraph"/>
              <w:numPr>
                <w:ilvl w:val="0"/>
                <w:numId w:val="2"/>
              </w:numPr>
              <w:spacing w:after="40" w:before="40"/>
            </w:pPr>
            <w:r>
              <w:rPr>
                <w:rFonts w:ascii="Arial" w:cs="Arial" w:eastAsia="Arial" w:hAnsi="Arial"/>
                <w:color w:val="2C2C2C"/>
                <w:sz w:val="20"/>
                <w:szCs w:val="20"/>
              </w:rPr>
              <w:t xml:space="preserve">Conformite agenda digital 2030</w:t>
            </w:r>
          </w:p>
        </w:tc>
        <w:tc>
          <w:tcPr>
            <w:tcW w:type="dxa" w:w="468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tcPr>
          <w:p>
            <w:pPr>
              <w:spacing w:after="80" w:before="0"/>
            </w:pPr>
            <w:r>
              <w:rPr>
                <w:rFonts w:ascii="Arial" w:cs="Arial" w:eastAsia="Arial" w:hAnsi="Arial"/>
                <w:b/>
                <w:bCs/>
                <w:color w:val="B25000"/>
                <w:sz w:val="22"/>
                <w:szCs w:val="22"/>
              </w:rPr>
              <w:t xml:space="preserve">FAIBLESSES</w:t>
            </w:r>
          </w:p>
          <w:p>
            <w:pPr>
              <w:pStyle w:val="ListParagraph"/>
              <w:numPr>
                <w:ilvl w:val="0"/>
                <w:numId w:val="2"/>
              </w:numPr>
              <w:spacing w:after="40" w:before="40"/>
            </w:pPr>
            <w:r>
              <w:rPr>
                <w:rFonts w:ascii="Arial" w:cs="Arial" w:eastAsia="Arial" w:hAnsi="Arial"/>
                <w:color w:val="2C2C2C"/>
                <w:sz w:val="20"/>
                <w:szCs w:val="20"/>
              </w:rPr>
              <w:t xml:space="preserve">Qualite des donnees historiques incertaine</w:t>
            </w:r>
          </w:p>
          <w:p>
            <w:pPr>
              <w:pStyle w:val="ListParagraph"/>
              <w:numPr>
                <w:ilvl w:val="0"/>
                <w:numId w:val="2"/>
              </w:numPr>
              <w:spacing w:after="40" w:before="40"/>
            </w:pPr>
            <w:r>
              <w:rPr>
                <w:rFonts w:ascii="Arial" w:cs="Arial" w:eastAsia="Arial" w:hAnsi="Arial"/>
                <w:color w:val="2C2C2C"/>
                <w:sz w:val="20"/>
                <w:szCs w:val="20"/>
              </w:rPr>
              <w:t xml:space="preserve">Dependance a l'infrastructure numerique</w:t>
            </w:r>
          </w:p>
          <w:p>
            <w:pPr>
              <w:pStyle w:val="ListParagraph"/>
              <w:numPr>
                <w:ilvl w:val="0"/>
                <w:numId w:val="2"/>
              </w:numPr>
              <w:spacing w:after="40" w:before="40"/>
            </w:pPr>
            <w:r>
              <w:rPr>
                <w:rFonts w:ascii="Arial" w:cs="Arial" w:eastAsia="Arial" w:hAnsi="Arial"/>
                <w:color w:val="2C2C2C"/>
                <w:sz w:val="20"/>
                <w:szCs w:val="20"/>
              </w:rPr>
              <w:t xml:space="preserve">Besoin eleve de formation des utilisateurs</w:t>
            </w:r>
          </w:p>
          <w:p>
            <w:pPr>
              <w:pStyle w:val="ListParagraph"/>
              <w:numPr>
                <w:ilvl w:val="0"/>
                <w:numId w:val="2"/>
              </w:numPr>
              <w:spacing w:after="40" w:before="40"/>
            </w:pPr>
            <w:r>
              <w:rPr>
                <w:rFonts w:ascii="Arial" w:cs="Arial" w:eastAsia="Arial" w:hAnsi="Arial"/>
                <w:color w:val="2C2C2C"/>
                <w:sz w:val="20"/>
                <w:szCs w:val="20"/>
              </w:rPr>
              <w:t xml:space="preserve">Cout initial d'investissement significatif</w:t>
            </w:r>
          </w:p>
        </w:tc>
      </w:tr>
      <w:tr>
        <w:tc>
          <w:tcPr>
            <w:tcW w:type="dxa" w:w="4680"/>
            <w:tcBorders>
              <w:top w:val="single" w:color="CCCCCC" w:sz="1"/>
              <w:left w:val="single" w:color="CCCCCC" w:sz="1"/>
              <w:bottom w:val="single" w:color="CCCCCC" w:sz="1"/>
              <w:right w:val="single" w:color="CCCCCC" w:sz="1"/>
            </w:tcBorders>
            <w:shd w:fill="EAF2FB" w:val="clear"/>
            <w:tcMar>
              <w:top w:type="dxa" w:w="120"/>
              <w:left w:type="dxa" w:w="160"/>
              <w:bottom w:type="dxa" w:w="120"/>
              <w:right w:type="dxa" w:w="160"/>
            </w:tcMar>
          </w:tcPr>
          <w:p>
            <w:pPr>
              <w:spacing w:after="80" w:before="0"/>
            </w:pPr>
            <w:r>
              <w:rPr>
                <w:rFonts w:ascii="Arial" w:cs="Arial" w:eastAsia="Arial" w:hAnsi="Arial"/>
                <w:b/>
                <w:bCs/>
                <w:color w:val="2E6DA4"/>
                <w:sz w:val="22"/>
                <w:szCs w:val="22"/>
              </w:rPr>
              <w:t xml:space="preserve">OPPORTUNITES</w:t>
            </w:r>
          </w:p>
          <w:p>
            <w:pPr>
              <w:pStyle w:val="ListParagraph"/>
              <w:numPr>
                <w:ilvl w:val="0"/>
                <w:numId w:val="2"/>
              </w:numPr>
              <w:spacing w:after="40" w:before="40"/>
            </w:pPr>
            <w:r>
              <w:rPr>
                <w:rFonts w:ascii="Arial" w:cs="Arial" w:eastAsia="Arial" w:hAnsi="Arial"/>
                <w:color w:val="2C2C2C"/>
                <w:sz w:val="20"/>
                <w:szCs w:val="20"/>
              </w:rPr>
              <w:t xml:space="preserve">Agenda Digital CI 2030 en cours</w:t>
            </w:r>
          </w:p>
          <w:p>
            <w:pPr>
              <w:pStyle w:val="ListParagraph"/>
              <w:numPr>
                <w:ilvl w:val="0"/>
                <w:numId w:val="2"/>
              </w:numPr>
              <w:spacing w:after="40" w:before="40"/>
            </w:pPr>
            <w:r>
              <w:rPr>
                <w:rFonts w:ascii="Arial" w:cs="Arial" w:eastAsia="Arial" w:hAnsi="Arial"/>
                <w:color w:val="2C2C2C"/>
                <w:sz w:val="20"/>
                <w:szCs w:val="20"/>
              </w:rPr>
              <w:t xml:space="preserve">Financement international disponible</w:t>
            </w:r>
          </w:p>
          <w:p>
            <w:pPr>
              <w:pStyle w:val="ListParagraph"/>
              <w:numPr>
                <w:ilvl w:val="0"/>
                <w:numId w:val="2"/>
              </w:numPr>
              <w:spacing w:after="40" w:before="40"/>
            </w:pPr>
            <w:r>
              <w:rPr>
                <w:rFonts w:ascii="Arial" w:cs="Arial" w:eastAsia="Arial" w:hAnsi="Arial"/>
                <w:color w:val="2C2C2C"/>
                <w:sz w:val="20"/>
                <w:szCs w:val="20"/>
              </w:rPr>
              <w:t xml:space="preserve">Modeles africains reussis (Rwanda, Senegal)</w:t>
            </w:r>
          </w:p>
          <w:p>
            <w:pPr>
              <w:pStyle w:val="ListParagraph"/>
              <w:numPr>
                <w:ilvl w:val="0"/>
                <w:numId w:val="2"/>
              </w:numPr>
              <w:spacing w:after="40" w:before="40"/>
            </w:pPr>
            <w:r>
              <w:rPr>
                <w:rFonts w:ascii="Arial" w:cs="Arial" w:eastAsia="Arial" w:hAnsi="Arial"/>
                <w:color w:val="2C2C2C"/>
                <w:sz w:val="20"/>
                <w:szCs w:val="20"/>
              </w:rPr>
              <w:t xml:space="preserve">Synergies avec d'autres systemes d'Etat</w:t>
            </w:r>
          </w:p>
        </w:tc>
        <w:tc>
          <w:tcPr>
            <w:tcW w:type="dxa" w:w="4680"/>
            <w:tcBorders>
              <w:top w:val="single" w:color="CCCCCC" w:sz="1"/>
              <w:left w:val="single" w:color="CCCCCC" w:sz="1"/>
              <w:bottom w:val="single" w:color="CCCCCC" w:sz="1"/>
              <w:right w:val="single" w:color="CCCCCC" w:sz="1"/>
            </w:tcBorders>
            <w:shd w:fill="FDE8E8" w:val="clear"/>
            <w:tcMar>
              <w:top w:type="dxa" w:w="120"/>
              <w:left w:type="dxa" w:w="160"/>
              <w:bottom w:type="dxa" w:w="120"/>
              <w:right w:type="dxa" w:w="160"/>
            </w:tcMar>
          </w:tcPr>
          <w:p>
            <w:pPr>
              <w:spacing w:after="80" w:before="0"/>
            </w:pPr>
            <w:r>
              <w:rPr>
                <w:rFonts w:ascii="Arial" w:cs="Arial" w:eastAsia="Arial" w:hAnsi="Arial"/>
                <w:b/>
                <w:bCs/>
                <w:color w:val="C8102E"/>
                <w:sz w:val="22"/>
                <w:szCs w:val="22"/>
              </w:rPr>
              <w:t xml:space="preserve">MENACES</w:t>
            </w:r>
          </w:p>
          <w:p>
            <w:pPr>
              <w:pStyle w:val="ListParagraph"/>
              <w:numPr>
                <w:ilvl w:val="0"/>
                <w:numId w:val="2"/>
              </w:numPr>
              <w:spacing w:after="40" w:before="40"/>
            </w:pPr>
            <w:r>
              <w:rPr>
                <w:rFonts w:ascii="Arial" w:cs="Arial" w:eastAsia="Arial" w:hAnsi="Arial"/>
                <w:color w:val="2C2C2C"/>
                <w:sz w:val="20"/>
                <w:szCs w:val="20"/>
              </w:rPr>
              <w:t xml:space="preserve">Resistance au changement</w:t>
            </w:r>
          </w:p>
          <w:p>
            <w:pPr>
              <w:pStyle w:val="ListParagraph"/>
              <w:numPr>
                <w:ilvl w:val="0"/>
                <w:numId w:val="2"/>
              </w:numPr>
              <w:spacing w:after="40" w:before="40"/>
            </w:pPr>
            <w:r>
              <w:rPr>
                <w:rFonts w:ascii="Arial" w:cs="Arial" w:eastAsia="Arial" w:hAnsi="Arial"/>
                <w:color w:val="2C2C2C"/>
                <w:sz w:val="20"/>
                <w:szCs w:val="20"/>
              </w:rPr>
              <w:t xml:space="preserve">Risques de cybersecurite</w:t>
            </w:r>
          </w:p>
          <w:p>
            <w:pPr>
              <w:pStyle w:val="ListParagraph"/>
              <w:numPr>
                <w:ilvl w:val="0"/>
                <w:numId w:val="2"/>
              </w:numPr>
              <w:spacing w:after="40" w:before="40"/>
            </w:pPr>
            <w:r>
              <w:rPr>
                <w:rFonts w:ascii="Arial" w:cs="Arial" w:eastAsia="Arial" w:hAnsi="Arial"/>
                <w:color w:val="2C2C2C"/>
                <w:sz w:val="20"/>
                <w:szCs w:val="20"/>
              </w:rPr>
              <w:t xml:space="preserve">Difficulte d'harmonisation inter-corps</w:t>
            </w:r>
          </w:p>
          <w:p>
            <w:pPr>
              <w:pStyle w:val="ListParagraph"/>
              <w:numPr>
                <w:ilvl w:val="0"/>
                <w:numId w:val="2"/>
              </w:numPr>
              <w:spacing w:after="40" w:before="40"/>
            </w:pPr>
            <w:r>
              <w:rPr>
                <w:rFonts w:ascii="Arial" w:cs="Arial" w:eastAsia="Arial" w:hAnsi="Arial"/>
                <w:color w:val="2C2C2C"/>
                <w:sz w:val="20"/>
                <w:szCs w:val="20"/>
              </w:rPr>
              <w:t xml:space="preserve">Volatilite des financements exterieurs</w:t>
            </w:r>
          </w:p>
        </w:tc>
      </w:tr>
    </w:tbl>
    <w:p>
      <w:pPr>
        <w:spacing w:after="80" w:before="80"/>
      </w:pPr>
      <w:r>
        <w:t xml:space="preserve"/>
      </w:r>
    </w:p>
    <w:p>
      <w:pPr>
        <w:shd w:fill="1A3A6B" w:val="clear"/>
        <w:spacing w:after="180" w:before="300"/>
        <w:ind w:left="180"/>
      </w:pPr>
      <w:r>
        <w:rPr>
          <w:rFonts w:ascii="Arial" w:cs="Arial" w:eastAsia="Arial" w:hAnsi="Arial"/>
          <w:b/>
          <w:bCs/>
          <w:color w:val="FFFFFF"/>
          <w:sz w:val="24"/>
          <w:szCs w:val="24"/>
        </w:rPr>
        <w:t xml:space="preserve">6. PHASAGE ET IMPACT ATTENDU</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960"/>
        <w:gridCol w:w="2800"/>
      </w:tblGrid>
      <w:tr>
        <w:tc>
          <w:tcPr>
            <w:tcW w:type="dxa" w:w="1600"/>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c>
          <w:tcPr>
            <w:tcW w:type="dxa" w:w="4960"/>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Contenu</w:t>
            </w:r>
          </w:p>
        </w:tc>
        <w:tc>
          <w:tcPr>
            <w:tcW w:type="dxa" w:w="2800"/>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Duree</w:t>
            </w:r>
          </w:p>
        </w:tc>
      </w:tr>
      <w:tr>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3A6B"/>
                <w:sz w:val="20"/>
                <w:szCs w:val="20"/>
              </w:rPr>
              <w:t xml:space="preserve">1 — Cadrage</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Analyse besoins, definition roles et exigences</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6DA4"/>
                <w:sz w:val="20"/>
                <w:szCs w:val="20"/>
              </w:rPr>
              <w:t xml:space="preserve">2 mois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0"/>
                <w:szCs w:val="20"/>
              </w:rPr>
              <w:t xml:space="preserve">2 — Conception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base de donnees, maquettes UI/UX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2 mois</w:t>
            </w:r>
          </w:p>
        </w:tc>
      </w:tr>
      <w:tr>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3A6B"/>
                <w:sz w:val="20"/>
                <w:szCs w:val="20"/>
              </w:rPr>
              <w:t xml:space="preserve">3 — MVP</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Modules agents, matricule, affectations, grades</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6DA4"/>
                <w:sz w:val="20"/>
                <w:szCs w:val="20"/>
              </w:rPr>
              <w:t xml:space="preserve">4 mois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0"/>
                <w:szCs w:val="20"/>
              </w:rPr>
              <w:t xml:space="preserve">4 — Enrichissement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Sante, documents, IA, tableaux de bord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3 mois</w:t>
            </w:r>
          </w:p>
        </w:tc>
      </w:tr>
      <w:tr>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3A6B"/>
                <w:sz w:val="20"/>
                <w:szCs w:val="20"/>
              </w:rPr>
              <w:t xml:space="preserve">5 — Deploiement</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Tests securite, pilote, generalisation nationale</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6DA4"/>
                <w:sz w:val="20"/>
                <w:szCs w:val="20"/>
              </w:rPr>
              <w:t xml:space="preserve">3 mois</w:t>
            </w:r>
          </w:p>
        </w:tc>
      </w:tr>
    </w:tbl>
    <w:p>
      <w:pPr>
        <w:spacing w:after="80" w:before="80"/>
      </w:pPr>
      <w:r>
        <w:t xml:space="preserve"/>
      </w:r>
    </w:p>
    <w:p>
      <w:pPr>
        <w:shd w:fill="1A3A6B" w:val="clear"/>
        <w:spacing w:after="180" w:before="300"/>
        <w:ind w:left="180"/>
      </w:pPr>
      <w:r>
        <w:rPr>
          <w:rFonts w:ascii="Arial" w:cs="Arial" w:eastAsia="Arial" w:hAnsi="Arial"/>
          <w:b/>
          <w:bCs/>
          <w:color w:val="FFFFFF"/>
          <w:sz w:val="24"/>
          <w:szCs w:val="24"/>
        </w:rPr>
        <w:t xml:space="preserve">7. CADRE JURIDIQUE ET FINANCEMENT</w:t>
      </w:r>
    </w:p>
    <w:p>
      <w:pPr>
        <w:spacing w:after="100" w:before="100"/>
        <w:jc w:val="both"/>
      </w:pPr>
      <w:r>
        <w:rPr>
          <w:rFonts w:ascii="Arial" w:cs="Arial" w:eastAsia="Arial" w:hAnsi="Arial"/>
          <w:color w:val="2C2C2C"/>
          <w:sz w:val="22"/>
          <w:szCs w:val="22"/>
        </w:rPr>
        <w:t xml:space="preserve">La mise en oeuvre de la PNIGT-FS s'appuie sur un cadre legal solide en Cote d'Ivoire, incluant notamment la Loi n°2013-450 relative a la protection des donnees personnelles et la Loi n°2013-451 relative a la lutte contre la cybercriminalite. Un decret de creation de la plateforme sera necessaire pour lui conferer une valeur juridique officielle.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24"/>
              <w:bottom w:val="single" w:color="2E6DA4" w:sz="2"/>
              <w:right w:val="none" w:color="FFFFFF" w:sz="0"/>
            </w:tcBorders>
            <w:shd w:fill="EAF2FB" w:val="clear"/>
            <w:tcMar>
              <w:top w:type="dxa" w:w="140"/>
              <w:left w:type="dxa" w:w="260"/>
              <w:bottom w:type="dxa" w:w="140"/>
              <w:right w:type="dxa" w:w="260"/>
            </w:tcMar>
          </w:tcPr>
          <w:p>
            <w:pPr>
              <w:spacing w:after="60" w:before="0"/>
            </w:pPr>
            <w:r>
              <w:rPr>
                <w:rFonts w:ascii="Arial" w:cs="Arial" w:eastAsia="Arial" w:hAnsi="Arial"/>
                <w:b/>
                <w:bCs/>
                <w:color w:val="2E6DA4"/>
                <w:sz w:val="22"/>
                <w:szCs w:val="22"/>
              </w:rPr>
              <w:t xml:space="preserve">Sources de financement potentielles</w:t>
            </w:r>
          </w:p>
          <w:p>
            <w:pPr>
              <w:spacing w:after="0" w:before="0"/>
              <w:jc w:val="both"/>
            </w:pPr>
            <w:r>
              <w:rPr>
                <w:rFonts w:ascii="Arial" w:cs="Arial" w:eastAsia="Arial" w:hAnsi="Arial"/>
                <w:color w:val="2C2C2C"/>
                <w:sz w:val="22"/>
                <w:szCs w:val="22"/>
              </w:rPr>
              <w:t xml:space="preserve">Budget de l'Etat (Loi de Finances) | Banque Mondiale — Programme de Gouvernance Numerique | Banque Africaine de Developpement (BAD) | Union Europeenne (Fonds de Developpement) | Cooperation bilaterale (France, USA, Chine)</w:t>
            </w:r>
          </w:p>
        </w:tc>
      </w:tr>
    </w:tbl>
    <w:p>
      <w:pPr>
        <w:spacing w:after="80" w:before="80"/>
      </w:pPr>
      <w:r>
        <w:t xml:space="preserve"/>
      </w:r>
    </w:p>
    <w:p>
      <w:pPr>
        <w:shd w:fill="C8102E" w:val="clear"/>
        <w:spacing w:after="180" w:before="300"/>
        <w:ind w:left="180"/>
      </w:pPr>
      <w:r>
        <w:rPr>
          <w:rFonts w:ascii="Arial" w:cs="Arial" w:eastAsia="Arial" w:hAnsi="Arial"/>
          <w:b/>
          <w:bCs/>
          <w:color w:val="FFFFFF"/>
          <w:sz w:val="24"/>
          <w:szCs w:val="24"/>
        </w:rPr>
        <w:t xml:space="preserve">8. CONCLUSION ET RECOMMANDATIONS</w:t>
      </w:r>
    </w:p>
    <w:p>
      <w:pPr>
        <w:spacing w:after="100" w:before="100"/>
        <w:jc w:val="both"/>
      </w:pPr>
      <w:r>
        <w:rPr>
          <w:rFonts w:ascii="Arial" w:cs="Arial" w:eastAsia="Arial" w:hAnsi="Arial"/>
          <w:color w:val="2C2C2C"/>
          <w:sz w:val="22"/>
          <w:szCs w:val="22"/>
        </w:rPr>
        <w:t xml:space="preserve">La PNIGT-FS est bien plus qu'un simple outil informatique : c'est une infrastructure numerique strategique nationale, a forte valeur ajoutee pour la gouvernance des forces de securite en Cote d'Ivoire. Elle transforme fondamentalement la gestion des ressources humaines en passant d'une administration fragmentee et reactive a une gestion centralisee, transparente et orientee par les donnees.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B4A" w:sz="6"/>
              <w:left w:val="single" w:color="1A7B4A" w:sz="24"/>
              <w:bottom w:val="single" w:color="1A7B4A" w:sz="2"/>
              <w:right w:val="none" w:color="FFFFFF" w:sz="0"/>
            </w:tcBorders>
            <w:shd w:fill="E8F5EE" w:val="clear"/>
            <w:tcMar>
              <w:top w:type="dxa" w:w="140"/>
              <w:left w:type="dxa" w:w="260"/>
              <w:bottom w:type="dxa" w:w="140"/>
              <w:right w:type="dxa" w:w="260"/>
            </w:tcMar>
          </w:tcPr>
          <w:p>
            <w:pPr>
              <w:spacing w:after="60" w:before="0"/>
            </w:pPr>
            <w:r>
              <w:rPr>
                <w:rFonts w:ascii="Arial" w:cs="Arial" w:eastAsia="Arial" w:hAnsi="Arial"/>
                <w:b/>
                <w:bCs/>
                <w:color w:val="1A7B4A"/>
                <w:sz w:val="22"/>
                <w:szCs w:val="22"/>
              </w:rPr>
              <w:t xml:space="preserve">Recommandation cle</w:t>
            </w:r>
          </w:p>
          <w:p>
            <w:pPr>
              <w:spacing w:after="0" w:before="0"/>
              <w:jc w:val="both"/>
            </w:pPr>
            <w:r>
              <w:rPr>
                <w:rFonts w:ascii="Arial" w:cs="Arial" w:eastAsia="Arial" w:hAnsi="Arial"/>
                <w:color w:val="2C2C2C"/>
                <w:sz w:val="22"/>
                <w:szCs w:val="22"/>
              </w:rPr>
              <w:t xml:space="preserve">Ce projet devrait etre classe comme infrastructure numerique strategique nationale et beneficier d'un portage politique au plus haut niveau des deux ministeres tutelles (Defense et Interieur), avec un financement dedie inscrit dans la Loi de Finances, complementaire aux partenariats internationaux disponibles.</w:t>
            </w:r>
          </w:p>
        </w:tc>
      </w:tr>
    </w:tbl>
    <w:p>
      <w:pPr>
        <w:spacing w:after="80" w:before="80"/>
      </w:pPr>
      <w:r>
        <w:t xml:space="preserve"/>
      </w:r>
    </w:p>
    <w:p>
      <w:pPr>
        <w:shd w:fill="1A3A6B" w:val="clear"/>
        <w:spacing w:after="180" w:before="300"/>
        <w:ind w:left="180"/>
      </w:pPr>
      <w:r>
        <w:rPr>
          <w:rFonts w:ascii="Arial" w:cs="Arial" w:eastAsia="Arial" w:hAnsi="Arial"/>
          <w:b/>
          <w:bCs/>
          <w:color w:val="FFFFFF"/>
          <w:sz w:val="24"/>
          <w:szCs w:val="24"/>
        </w:rPr>
        <w:t xml:space="preserve">9. PROFIL DU PORTEUR DE PROJET</w:t>
      </w:r>
    </w:p>
    <w:p>
      <w:pPr>
        <w:spacing w:after="100" w:before="100"/>
        <w:jc w:val="both"/>
      </w:pPr>
      <w:r>
        <w:rPr>
          <w:rFonts w:ascii="Arial" w:cs="Arial" w:eastAsia="Arial" w:hAnsi="Arial"/>
          <w:color w:val="2C2C2C"/>
          <w:sz w:val="22"/>
          <w:szCs w:val="22"/>
        </w:rPr>
        <w:t xml:space="preserve">Ce projet est presente dans le cadre d'une journee carriere par un etudiant en informatique / genie logiciel, avec une vision concrete et realiste de la solution technique a mettre en oeuvre. Les competences mobilisees dans ce projet incluent :</w:t>
      </w:r>
    </w:p>
    <w:p>
      <w:pPr>
        <w:pStyle w:val="ListParagraph"/>
        <w:numPr>
          <w:ilvl w:val="0"/>
          <w:numId w:val="2"/>
        </w:numPr>
        <w:spacing w:after="60" w:before="60"/>
      </w:pPr>
      <w:r>
        <w:rPr>
          <w:rFonts w:ascii="Arial" w:cs="Arial" w:eastAsia="Arial" w:hAnsi="Arial"/>
          <w:b w:val="false"/>
          <w:bCs w:val="false"/>
          <w:color w:val="2C2C2C"/>
          <w:sz w:val="22"/>
          <w:szCs w:val="22"/>
        </w:rPr>
        <w:t xml:space="preserve">Architecture logicielle et conception de systemes d'information complexes</w:t>
      </w:r>
    </w:p>
    <w:p>
      <w:pPr>
        <w:pStyle w:val="ListParagraph"/>
        <w:numPr>
          <w:ilvl w:val="0"/>
          <w:numId w:val="2"/>
        </w:numPr>
        <w:spacing w:after="60" w:before="60"/>
      </w:pPr>
      <w:r>
        <w:rPr>
          <w:rFonts w:ascii="Arial" w:cs="Arial" w:eastAsia="Arial" w:hAnsi="Arial"/>
          <w:b w:val="false"/>
          <w:bCs w:val="false"/>
          <w:color w:val="2C2C2C"/>
          <w:sz w:val="22"/>
          <w:szCs w:val="22"/>
        </w:rPr>
        <w:t xml:space="preserve">Developpement web full-stack (frontend, backend, API REST)</w:t>
      </w:r>
    </w:p>
    <w:p>
      <w:pPr>
        <w:pStyle w:val="ListParagraph"/>
        <w:numPr>
          <w:ilvl w:val="0"/>
          <w:numId w:val="2"/>
        </w:numPr>
        <w:spacing w:after="60" w:before="60"/>
      </w:pPr>
      <w:r>
        <w:rPr>
          <w:rFonts w:ascii="Arial" w:cs="Arial" w:eastAsia="Arial" w:hAnsi="Arial"/>
          <w:b w:val="false"/>
          <w:bCs w:val="false"/>
          <w:color w:val="2C2C2C"/>
          <w:sz w:val="22"/>
          <w:szCs w:val="22"/>
        </w:rPr>
        <w:t xml:space="preserve">Gestion de bases de donnees relationnelles et documentaires</w:t>
      </w:r>
    </w:p>
    <w:p>
      <w:pPr>
        <w:pStyle w:val="ListParagraph"/>
        <w:numPr>
          <w:ilvl w:val="0"/>
          <w:numId w:val="2"/>
        </w:numPr>
        <w:spacing w:after="60" w:before="60"/>
      </w:pPr>
      <w:r>
        <w:rPr>
          <w:rFonts w:ascii="Arial" w:cs="Arial" w:eastAsia="Arial" w:hAnsi="Arial"/>
          <w:b w:val="false"/>
          <w:bCs w:val="false"/>
          <w:color w:val="2C2C2C"/>
          <w:sz w:val="22"/>
          <w:szCs w:val="22"/>
        </w:rPr>
        <w:t xml:space="preserve">Cybersecurite et protection des donnees sensibles</w:t>
      </w:r>
    </w:p>
    <w:p>
      <w:pPr>
        <w:pStyle w:val="ListParagraph"/>
        <w:numPr>
          <w:ilvl w:val="0"/>
          <w:numId w:val="2"/>
        </w:numPr>
        <w:spacing w:after="60" w:before="60"/>
      </w:pPr>
      <w:r>
        <w:rPr>
          <w:rFonts w:ascii="Arial" w:cs="Arial" w:eastAsia="Arial" w:hAnsi="Arial"/>
          <w:b w:val="false"/>
          <w:bCs w:val="false"/>
          <w:color w:val="2C2C2C"/>
          <w:sz w:val="22"/>
          <w:szCs w:val="22"/>
        </w:rPr>
        <w:t xml:space="preserve">Gestion de projet IT (methodologie Agile/Scrum)</w:t>
      </w:r>
    </w:p>
    <w:p>
      <w:pPr>
        <w:pStyle w:val="ListParagraph"/>
        <w:numPr>
          <w:ilvl w:val="0"/>
          <w:numId w:val="2"/>
        </w:numPr>
        <w:spacing w:after="60" w:before="60"/>
      </w:pPr>
      <w:r>
        <w:rPr>
          <w:rFonts w:ascii="Arial" w:cs="Arial" w:eastAsia="Arial" w:hAnsi="Arial"/>
          <w:b w:val="false"/>
          <w:bCs w:val="false"/>
          <w:color w:val="2C2C2C"/>
          <w:sz w:val="22"/>
          <w:szCs w:val="22"/>
        </w:rPr>
        <w:t xml:space="preserve">Connaissance des enjeux de la transformation numerique des administrations publiques africaines</w:t>
      </w:r>
    </w:p>
    <w:p>
      <w:pPr>
        <w:spacing w:after="80" w:before="80"/>
      </w:pPr>
      <w:r>
        <w:t xml:space="preserve"/>
      </w:r>
    </w:p>
    <w:p>
      <w:pPr>
        <w:pBdr>
          <w:bottom w:val="single" w:color="1A3A6B" w:sz="8" w:space="1"/>
        </w:pBdr>
        <w:spacing w:after="80" w:before="80"/>
      </w:pPr>
    </w:p>
    <w:p>
      <w:pPr>
        <w:spacing w:after="60" w:before="100"/>
        <w:jc w:val="center"/>
      </w:pPr>
      <w:r>
        <w:rPr>
          <w:rFonts w:ascii="Arial" w:cs="Arial" w:eastAsia="Arial" w:hAnsi="Arial"/>
          <w:i/>
          <w:iCs/>
          <w:color w:val="888888"/>
          <w:sz w:val="18"/>
          <w:szCs w:val="18"/>
        </w:rPr>
        <w:t xml:space="preserve">Note de synthese — PNIGT-FS | Version 1.0 — Journee Carriere 2025 | Confidentiel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1"/>
      </w:pBdr>
      <w:spacing w:before="80"/>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i/>
        <w:iCs/>
        <w:color w:val="AAAAAA"/>
        <w:sz w:val="18"/>
        <w:szCs w:val="18"/>
      </w:rPr>
      <w:t xml:space="preserve">          Document confidentiel — Journee Carriere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6" w:space="1"/>
      </w:pBdr>
      <w:spacing w:after="100"/>
    </w:pPr>
    <w:r>
      <w:rPr>
        <w:rFonts w:ascii="Arial" w:cs="Arial" w:eastAsia="Arial" w:hAnsi="Arial"/>
        <w:b/>
        <w:bCs/>
        <w:color w:val="1A3A6B"/>
        <w:sz w:val="18"/>
        <w:szCs w:val="18"/>
      </w:rPr>
      <w:t xml:space="preserve">NOTE DE SYNTHESE — PNIGT-FS</w:t>
    </w:r>
    <w:r>
      <w:rPr>
        <w:rFonts w:ascii="Arial" w:cs="Arial" w:eastAsia="Arial" w:hAnsi="Arial"/>
        <w:i/>
        <w:iCs/>
        <w:color w:val="888888"/>
        <w:sz w:val="18"/>
        <w:szCs w:val="18"/>
      </w:rPr>
      <w:t xml:space="preserve">    |    Digitalisation de l'Administration Publique, Cote d'Ivoire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2026-06-08T12:00:04.617Z</dcterms:created>
  <dcterms:modified xsi:type="dcterms:W3CDTF">2026-06-08T12:00:04.617Z</dcterms:modified>
</cp:coreProperties>
</file>

<file path=docProps/custom.xml><?xml version="1.0" encoding="utf-8"?>
<Properties xmlns="http://schemas.openxmlformats.org/officeDocument/2006/custom-properties" xmlns:vt="http://schemas.openxmlformats.org/officeDocument/2006/docPropsVTypes"/>
</file>