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6B" w:rsidRPr="002F3C21" w:rsidRDefault="0065496B">
      <w:pPr>
        <w:rPr>
          <w:rFonts w:ascii="Arial" w:hAnsi="Arial" w:cs="Arial"/>
        </w:rPr>
      </w:pPr>
    </w:p>
    <w:tbl>
      <w:tblPr>
        <w:tblpPr w:leftFromText="180" w:rightFromText="180" w:horzAnchor="margin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36"/>
      </w:tblGrid>
      <w:tr w:rsidR="0065496B" w:rsidRPr="002F3C21" w:rsidTr="008C73DA">
        <w:trPr>
          <w:trHeight w:val="9781"/>
        </w:trPr>
        <w:tc>
          <w:tcPr>
            <w:tcW w:w="6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50D" w:rsidRPr="00563484" w:rsidRDefault="00E6050D" w:rsidP="00E6050D">
            <w:pPr>
              <w:rPr>
                <w:rFonts w:ascii="Arial" w:hAnsi="Arial" w:cs="Arial"/>
                <w:b/>
                <w:color w:val="365F91" w:themeColor="accent1" w:themeShade="BF"/>
              </w:rPr>
            </w:pPr>
            <w:r w:rsidRPr="00563484">
              <w:rPr>
                <w:rFonts w:ascii="Arial" w:hAnsi="Arial" w:cs="Arial"/>
                <w:b/>
                <w:color w:val="365F91" w:themeColor="accent1" w:themeShade="BF"/>
              </w:rPr>
              <w:t>H</w:t>
            </w:r>
            <w:r>
              <w:rPr>
                <w:rFonts w:ascii="Arial" w:hAnsi="Arial" w:cs="Arial"/>
                <w:b/>
                <w:color w:val="365F91" w:themeColor="accent1" w:themeShade="BF"/>
              </w:rPr>
              <w:t>OW YOUR WATCH IS REPAIRED</w:t>
            </w:r>
          </w:p>
          <w:p w:rsidR="00E6050D" w:rsidRDefault="00E6050D" w:rsidP="00E6050D">
            <w:pPr>
              <w:rPr>
                <w:rFonts w:ascii="Arial" w:hAnsi="Arial" w:cs="Arial"/>
              </w:rPr>
            </w:pPr>
          </w:p>
          <w:p w:rsidR="00E6050D" w:rsidRDefault="00E6050D" w:rsidP="00E6050D">
            <w:pPr>
              <w:rPr>
                <w:rFonts w:ascii="Arial" w:hAnsi="Arial" w:cs="Arial"/>
              </w:rPr>
            </w:pPr>
          </w:p>
          <w:p w:rsidR="00E6050D" w:rsidRDefault="00E6050D" w:rsidP="00E605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are many stages involved</w:t>
            </w:r>
          </w:p>
          <w:p w:rsidR="00E6050D" w:rsidRDefault="00E6050D" w:rsidP="00E6050D">
            <w:pPr>
              <w:rPr>
                <w:rFonts w:ascii="Arial" w:hAnsi="Arial" w:cs="Arial"/>
              </w:rPr>
            </w:pP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Fully dismantle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De-magnetise case and bracelet and check for damage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Pre-clean the movement for thorough inspection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Check for wear, rust, damage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Genuine parts sourced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Repair movement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Readjust balance, train wheels and tolerances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Second clean in ultrasonic cleaning fluid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Assemble using an average of four different oils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Electronic timing, tested in 6 positions for accuracy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Replace dial and hands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Re-case movement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New seals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Fit glass</w:t>
            </w:r>
          </w:p>
          <w:p w:rsidR="00E6050D" w:rsidRPr="00150B01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Waterproof test as appropriate</w:t>
            </w:r>
          </w:p>
          <w:p w:rsidR="00E6050D" w:rsidRPr="00563484" w:rsidRDefault="00E6050D" w:rsidP="00E6050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150B01">
              <w:rPr>
                <w:rFonts w:ascii="Arial" w:hAnsi="Arial" w:cs="Arial"/>
              </w:rPr>
              <w:t>Clean, refurbish and polish bracelet</w:t>
            </w:r>
          </w:p>
          <w:p w:rsidR="00E6050D" w:rsidRDefault="00E6050D" w:rsidP="00E6050D">
            <w:pPr>
              <w:spacing w:line="360" w:lineRule="auto"/>
              <w:rPr>
                <w:rFonts w:ascii="Arial" w:hAnsi="Arial" w:cs="Arial"/>
              </w:rPr>
            </w:pPr>
          </w:p>
          <w:p w:rsidR="00E6050D" w:rsidRDefault="00E6050D" w:rsidP="00E6050D">
            <w:pPr>
              <w:spacing w:line="360" w:lineRule="auto"/>
              <w:rPr>
                <w:rFonts w:ascii="Arial" w:hAnsi="Arial" w:cs="Arial"/>
              </w:rPr>
            </w:pPr>
          </w:p>
          <w:p w:rsidR="00E6050D" w:rsidRPr="008C73DA" w:rsidRDefault="00E6050D" w:rsidP="008C73DA">
            <w:pPr>
              <w:tabs>
                <w:tab w:val="left" w:pos="2550"/>
              </w:tabs>
              <w:jc w:val="center"/>
              <w:rPr>
                <w:rFonts w:ascii="Arial" w:hAnsi="Arial" w:cs="Arial"/>
                <w:b/>
                <w:i/>
                <w:color w:val="244061" w:themeColor="accent1" w:themeShade="80"/>
                <w:sz w:val="28"/>
                <w:szCs w:val="28"/>
              </w:rPr>
            </w:pPr>
            <w:r w:rsidRPr="008C73DA">
              <w:rPr>
                <w:rFonts w:ascii="Arial" w:hAnsi="Arial" w:cs="Arial"/>
                <w:b/>
                <w:i/>
                <w:color w:val="244061" w:themeColor="accent1" w:themeShade="80"/>
                <w:sz w:val="28"/>
                <w:szCs w:val="28"/>
              </w:rPr>
              <w:t>Horology:  Where Art Meets Science</w:t>
            </w:r>
          </w:p>
          <w:p w:rsidR="00E6050D" w:rsidRDefault="00E6050D" w:rsidP="00E6050D">
            <w:pPr>
              <w:rPr>
                <w:rFonts w:ascii="Arial" w:hAnsi="Arial" w:cs="Arial"/>
              </w:rPr>
            </w:pPr>
          </w:p>
          <w:p w:rsidR="00E6050D" w:rsidRDefault="00E6050D" w:rsidP="00E6050D">
            <w:pPr>
              <w:rPr>
                <w:rFonts w:ascii="Arial" w:hAnsi="Arial" w:cs="Arial"/>
              </w:rPr>
            </w:pPr>
          </w:p>
          <w:p w:rsidR="0065496B" w:rsidRPr="002F3C21" w:rsidRDefault="0065496B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66"/>
        <w:gridCol w:w="3514"/>
      </w:tblGrid>
      <w:tr w:rsidR="00E60CB6" w:rsidRPr="002F3C21" w:rsidTr="00E60CB6">
        <w:tc>
          <w:tcPr>
            <w:tcW w:w="3546" w:type="dxa"/>
          </w:tcPr>
          <w:p w:rsidR="00B61E67" w:rsidRPr="002F3C21" w:rsidRDefault="00B61E67">
            <w:pPr>
              <w:rPr>
                <w:rFonts w:ascii="Arial" w:hAnsi="Arial" w:cs="Arial"/>
              </w:rPr>
            </w:pPr>
            <w:r w:rsidRPr="00B61E67">
              <w:rPr>
                <w:rFonts w:ascii="Arial" w:hAnsi="Arial" w:cs="Arial"/>
                <w:noProof/>
                <w:lang w:eastAsia="en-GB"/>
              </w:rPr>
              <w:lastRenderedPageBreak/>
              <w:drawing>
                <wp:inline distT="0" distB="0" distL="0" distR="0">
                  <wp:extent cx="2163853" cy="2257425"/>
                  <wp:effectExtent l="19050" t="0" r="7847" b="0"/>
                  <wp:docPr id="1" name="Picture 1" descr="C:\Users\Robert\Downloads\d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obert\Downloads\d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645" cy="2265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F30EA9" w:rsidRDefault="00E60CB6" w:rsidP="00F30EA9">
            <w:pPr>
              <w:pStyle w:val="Heading1"/>
              <w:rPr>
                <w:color w:val="365F91" w:themeColor="accent1" w:themeShade="BF"/>
                <w:w w:val="130"/>
                <w:sz w:val="24"/>
                <w:szCs w:val="24"/>
              </w:rPr>
            </w:pPr>
            <w:r w:rsidRPr="00FA1143">
              <w:rPr>
                <w:color w:val="365F91" w:themeColor="accent1" w:themeShade="BF"/>
                <w:w w:val="130"/>
                <w:sz w:val="24"/>
                <w:szCs w:val="24"/>
              </w:rPr>
              <w:t>ROBERT REEVES</w:t>
            </w:r>
          </w:p>
          <w:p w:rsidR="00E60CB6" w:rsidRPr="00F30EA9" w:rsidRDefault="00E60CB6" w:rsidP="00F30EA9">
            <w:pPr>
              <w:pStyle w:val="Heading1"/>
              <w:rPr>
                <w:color w:val="365F91" w:themeColor="accent1" w:themeShade="BF"/>
                <w:w w:val="130"/>
                <w:sz w:val="24"/>
                <w:szCs w:val="24"/>
              </w:rPr>
            </w:pPr>
            <w:r w:rsidRPr="00FA1143">
              <w:rPr>
                <w:color w:val="365F91" w:themeColor="accent1" w:themeShade="BF"/>
                <w:w w:val="130"/>
                <w:sz w:val="20"/>
                <w:szCs w:val="20"/>
              </w:rPr>
              <w:t>MBHI</w:t>
            </w:r>
          </w:p>
          <w:p w:rsidR="002F3C21" w:rsidRDefault="002F3C21" w:rsidP="002F3C21">
            <w:pPr>
              <w:rPr>
                <w:lang w:val="en-US"/>
              </w:rPr>
            </w:pPr>
          </w:p>
          <w:p w:rsidR="00F30EA9" w:rsidRDefault="00084D19" w:rsidP="00084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2F3C21" w:rsidRPr="00084D19">
              <w:rPr>
                <w:rFonts w:ascii="Arial" w:hAnsi="Arial" w:cs="Arial"/>
              </w:rPr>
              <w:t>ndependent, qualified</w:t>
            </w:r>
            <w:r w:rsidR="00F30EA9">
              <w:rPr>
                <w:rFonts w:ascii="Arial" w:hAnsi="Arial" w:cs="Arial"/>
              </w:rPr>
              <w:t>,</w:t>
            </w:r>
          </w:p>
          <w:p w:rsidR="00084D19" w:rsidRDefault="00F30EA9" w:rsidP="00084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Rolex trained</w:t>
            </w:r>
          </w:p>
          <w:p w:rsidR="00084D19" w:rsidRDefault="002F3C21" w:rsidP="00084D19">
            <w:pPr>
              <w:jc w:val="center"/>
              <w:rPr>
                <w:rFonts w:ascii="Arial" w:hAnsi="Arial" w:cs="Arial"/>
              </w:rPr>
            </w:pPr>
            <w:r w:rsidRPr="00084D19">
              <w:rPr>
                <w:rFonts w:ascii="Arial" w:hAnsi="Arial" w:cs="Arial"/>
              </w:rPr>
              <w:t>watch repairer</w:t>
            </w:r>
          </w:p>
          <w:p w:rsidR="00084D19" w:rsidRDefault="00084D19" w:rsidP="00084D19">
            <w:pPr>
              <w:jc w:val="center"/>
              <w:rPr>
                <w:rFonts w:ascii="Arial" w:hAnsi="Arial" w:cs="Arial"/>
              </w:rPr>
            </w:pPr>
          </w:p>
          <w:p w:rsidR="00B61E67" w:rsidRDefault="00084D19" w:rsidP="00084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F3C21" w:rsidRPr="00084D19">
              <w:rPr>
                <w:rFonts w:ascii="Arial" w:hAnsi="Arial" w:cs="Arial"/>
              </w:rPr>
              <w:t xml:space="preserve">pecialising in high class mechanical &amp; quartz watches including Rolex, </w:t>
            </w:r>
          </w:p>
          <w:p w:rsidR="00E60CB6" w:rsidRPr="00084D19" w:rsidRDefault="002F3C21" w:rsidP="00084D19">
            <w:pPr>
              <w:jc w:val="center"/>
              <w:rPr>
                <w:rFonts w:ascii="Arial" w:hAnsi="Arial" w:cs="Arial"/>
              </w:rPr>
            </w:pPr>
            <w:r w:rsidRPr="00084D19">
              <w:rPr>
                <w:rFonts w:ascii="Arial" w:hAnsi="Arial" w:cs="Arial"/>
              </w:rPr>
              <w:t>Longines and Omega.</w:t>
            </w:r>
          </w:p>
          <w:p w:rsidR="00E60CB6" w:rsidRPr="002F3C21" w:rsidRDefault="00E60CB6">
            <w:pPr>
              <w:rPr>
                <w:rFonts w:ascii="Arial" w:hAnsi="Arial" w:cs="Arial"/>
              </w:rPr>
            </w:pPr>
          </w:p>
        </w:tc>
      </w:tr>
    </w:tbl>
    <w:p w:rsidR="00E60CB6" w:rsidRPr="002F3C21" w:rsidRDefault="00E60CB6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778"/>
      </w:tblGrid>
      <w:tr w:rsidR="00E60CB6" w:rsidRPr="002F3C21" w:rsidTr="009B0E16">
        <w:tc>
          <w:tcPr>
            <w:tcW w:w="7430" w:type="dxa"/>
            <w:gridSpan w:val="2"/>
          </w:tcPr>
          <w:p w:rsidR="004D6BE9" w:rsidRPr="00FA1143" w:rsidRDefault="004D6BE9" w:rsidP="004D6BE9">
            <w:pPr>
              <w:pStyle w:val="Heading1"/>
              <w:rPr>
                <w:color w:val="365F91" w:themeColor="accent1" w:themeShade="BF"/>
                <w:sz w:val="28"/>
                <w:szCs w:val="28"/>
              </w:rPr>
            </w:pPr>
            <w:r w:rsidRPr="00FA1143">
              <w:rPr>
                <w:color w:val="365F91" w:themeColor="accent1" w:themeShade="BF"/>
                <w:sz w:val="28"/>
                <w:szCs w:val="28"/>
              </w:rPr>
              <w:t>WATCH REPAIR SERVICE CENTRE</w:t>
            </w:r>
          </w:p>
          <w:p w:rsidR="004D6BE9" w:rsidRPr="00FA1143" w:rsidRDefault="004D6BE9" w:rsidP="004D6BE9">
            <w:pPr>
              <w:rPr>
                <w:color w:val="365F91" w:themeColor="accent1" w:themeShade="BF"/>
                <w:lang w:val="en-US"/>
              </w:rPr>
            </w:pPr>
          </w:p>
          <w:p w:rsidR="004D6BE9" w:rsidRPr="009B0E16" w:rsidRDefault="004D6BE9" w:rsidP="004D6BE9">
            <w:pPr>
              <w:jc w:val="center"/>
              <w:rPr>
                <w:rFonts w:ascii="Arial" w:hAnsi="Arial" w:cs="Arial"/>
                <w:b/>
                <w:color w:val="365F91" w:themeColor="accent1" w:themeShade="BF"/>
                <w:lang w:val="en-US"/>
              </w:rPr>
            </w:pPr>
            <w:r w:rsidRPr="009B0E16">
              <w:rPr>
                <w:rFonts w:ascii="Arial" w:hAnsi="Arial" w:cs="Arial"/>
                <w:b/>
                <w:color w:val="365F91" w:themeColor="accent1" w:themeShade="BF"/>
                <w:lang w:val="en-US"/>
              </w:rPr>
              <w:t>Rolex a</w:t>
            </w:r>
            <w:r w:rsidR="00F30EA9" w:rsidRPr="009B0E16">
              <w:rPr>
                <w:rFonts w:ascii="Arial" w:hAnsi="Arial" w:cs="Arial"/>
                <w:b/>
                <w:color w:val="365F91" w:themeColor="accent1" w:themeShade="BF"/>
                <w:lang w:val="en-US"/>
              </w:rPr>
              <w:t>ccredited workshop</w:t>
            </w:r>
          </w:p>
          <w:p w:rsidR="004D6BE9" w:rsidRPr="00FA1143" w:rsidRDefault="00B01582" w:rsidP="004D6BE9">
            <w:pPr>
              <w:pStyle w:val="Heading1"/>
              <w:rPr>
                <w:color w:val="365F91" w:themeColor="accent1" w:themeShade="BF"/>
                <w:sz w:val="20"/>
                <w:szCs w:val="20"/>
              </w:rPr>
            </w:pPr>
            <w:hyperlink r:id="rId9" w:history="1">
              <w:r w:rsidR="004D6BE9" w:rsidRPr="00FA1143">
                <w:rPr>
                  <w:rStyle w:val="Hyperlink"/>
                  <w:color w:val="365F91" w:themeColor="accent1" w:themeShade="BF"/>
                  <w:w w:val="130"/>
                  <w:sz w:val="24"/>
                  <w:szCs w:val="24"/>
                </w:rPr>
                <w:t>www.robertreeves.co.uk</w:t>
              </w:r>
            </w:hyperlink>
          </w:p>
          <w:p w:rsidR="004D6BE9" w:rsidRDefault="004D6BE9" w:rsidP="004D6BE9">
            <w:pPr>
              <w:jc w:val="center"/>
              <w:rPr>
                <w:rFonts w:ascii="Arial" w:hAnsi="Arial" w:cs="Arial"/>
                <w:b/>
                <w:bCs/>
                <w:color w:val="365F91" w:themeColor="accent1" w:themeShade="BF"/>
              </w:rPr>
            </w:pPr>
          </w:p>
          <w:p w:rsidR="00E60CB6" w:rsidRPr="00084D19" w:rsidRDefault="004D6BE9" w:rsidP="004D6BE9">
            <w:pPr>
              <w:jc w:val="center"/>
              <w:rPr>
                <w:rFonts w:ascii="Arial" w:hAnsi="Arial" w:cs="Arial"/>
                <w:b/>
                <w:bCs/>
                <w:color w:val="003366"/>
              </w:rPr>
            </w:pPr>
            <w:r w:rsidRPr="00FA1143">
              <w:rPr>
                <w:rFonts w:ascii="Arial" w:hAnsi="Arial" w:cs="Arial"/>
                <w:b/>
                <w:bCs/>
                <w:color w:val="365F91" w:themeColor="accent1" w:themeShade="BF"/>
              </w:rPr>
              <w:t xml:space="preserve">Email: 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</w:rPr>
              <w:t>robert</w:t>
            </w:r>
            <w:r w:rsidRPr="00FA1143">
              <w:rPr>
                <w:rFonts w:ascii="Arial" w:hAnsi="Arial" w:cs="Arial"/>
                <w:b/>
                <w:bCs/>
                <w:color w:val="365F91" w:themeColor="accent1" w:themeShade="BF"/>
              </w:rPr>
              <w:t>@</w:t>
            </w:r>
            <w:r>
              <w:rPr>
                <w:rFonts w:ascii="Arial" w:hAnsi="Arial" w:cs="Arial"/>
                <w:b/>
                <w:bCs/>
                <w:color w:val="365F91" w:themeColor="accent1" w:themeShade="BF"/>
              </w:rPr>
              <w:t>robertreeves.co.uk</w:t>
            </w:r>
          </w:p>
        </w:tc>
      </w:tr>
      <w:tr w:rsidR="004D6BE9" w:rsidRPr="002F3C21" w:rsidTr="009B0E16">
        <w:tc>
          <w:tcPr>
            <w:tcW w:w="7430" w:type="dxa"/>
            <w:gridSpan w:val="2"/>
          </w:tcPr>
          <w:p w:rsidR="004D6BE9" w:rsidRPr="00084D19" w:rsidRDefault="004D6BE9" w:rsidP="00DE6747">
            <w:pPr>
              <w:jc w:val="center"/>
              <w:rPr>
                <w:rFonts w:ascii="Arial" w:hAnsi="Arial" w:cs="Arial"/>
                <w:b/>
                <w:bCs/>
                <w:color w:val="003366"/>
              </w:rPr>
            </w:pPr>
          </w:p>
        </w:tc>
      </w:tr>
      <w:tr w:rsidR="004D6BE9" w:rsidRPr="002F3C21" w:rsidTr="009B0E16">
        <w:tc>
          <w:tcPr>
            <w:tcW w:w="7430" w:type="dxa"/>
            <w:gridSpan w:val="2"/>
          </w:tcPr>
          <w:p w:rsidR="004D6BE9" w:rsidRPr="004D6BE9" w:rsidRDefault="004D6BE9" w:rsidP="004D6BE9">
            <w:pPr>
              <w:pStyle w:val="Heading3"/>
              <w:spacing w:before="0" w:after="120"/>
              <w:ind w:left="426" w:hanging="86"/>
              <w:rPr>
                <w:color w:val="002060"/>
              </w:rPr>
            </w:pPr>
            <w:r w:rsidRPr="00FA1143">
              <w:rPr>
                <w:color w:val="002060"/>
              </w:rPr>
              <w:t>SERVICES</w:t>
            </w:r>
          </w:p>
        </w:tc>
      </w:tr>
      <w:tr w:rsidR="004D6BE9" w:rsidRPr="002F3C21" w:rsidTr="009B0E16">
        <w:trPr>
          <w:trHeight w:val="1169"/>
        </w:trPr>
        <w:tc>
          <w:tcPr>
            <w:tcW w:w="3652" w:type="dxa"/>
          </w:tcPr>
          <w:p w:rsidR="004D6BE9" w:rsidRDefault="004D6BE9" w:rsidP="004D6BE9">
            <w:pPr>
              <w:pStyle w:val="mainText"/>
              <w:numPr>
                <w:ilvl w:val="0"/>
                <w:numId w:val="1"/>
              </w:numPr>
              <w:ind w:left="426" w:hanging="86"/>
            </w:pPr>
            <w:r>
              <w:t>Full watch service</w:t>
            </w:r>
          </w:p>
          <w:p w:rsidR="004D6BE9" w:rsidRPr="002F3C21" w:rsidRDefault="004D6BE9" w:rsidP="004D6BE9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>Ultrasonic cleaning</w:t>
            </w:r>
          </w:p>
          <w:p w:rsidR="004D6BE9" w:rsidRPr="002F3C21" w:rsidRDefault="004D6BE9" w:rsidP="004D6BE9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 xml:space="preserve">Electronic Timing  </w:t>
            </w:r>
          </w:p>
          <w:p w:rsidR="004D6BE9" w:rsidRPr="004D6BE9" w:rsidRDefault="004D6BE9" w:rsidP="004D6BE9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2F3C21">
              <w:t>Water pressure testing</w:t>
            </w:r>
          </w:p>
        </w:tc>
        <w:tc>
          <w:tcPr>
            <w:tcW w:w="3778" w:type="dxa"/>
          </w:tcPr>
          <w:p w:rsidR="004D6BE9" w:rsidRPr="002F3C21" w:rsidRDefault="004D6BE9" w:rsidP="00505DB8">
            <w:pPr>
              <w:pStyle w:val="mainText"/>
              <w:numPr>
                <w:ilvl w:val="0"/>
                <w:numId w:val="14"/>
              </w:numPr>
              <w:ind w:left="459" w:hanging="283"/>
            </w:pPr>
            <w:r w:rsidRPr="002F3C21">
              <w:t>Dial restoration, Glass fitting</w:t>
            </w:r>
          </w:p>
          <w:p w:rsidR="004D6BE9" w:rsidRDefault="004D6BE9" w:rsidP="00505DB8">
            <w:pPr>
              <w:pStyle w:val="mainText"/>
              <w:numPr>
                <w:ilvl w:val="0"/>
                <w:numId w:val="14"/>
              </w:numPr>
              <w:ind w:left="459" w:hanging="283"/>
            </w:pPr>
            <w:r>
              <w:t>Case</w:t>
            </w:r>
            <w:r w:rsidRPr="002F3C21">
              <w:t xml:space="preserve"> refurbishment</w:t>
            </w:r>
          </w:p>
          <w:p w:rsidR="004D6BE9" w:rsidRDefault="004D6BE9" w:rsidP="00505DB8">
            <w:pPr>
              <w:pStyle w:val="mainText"/>
              <w:numPr>
                <w:ilvl w:val="0"/>
                <w:numId w:val="14"/>
              </w:numPr>
              <w:ind w:left="459" w:hanging="283"/>
            </w:pPr>
            <w:r>
              <w:t>Bracelet refurbishment</w:t>
            </w:r>
            <w:r w:rsidRPr="002F3C21">
              <w:t xml:space="preserve"> </w:t>
            </w:r>
          </w:p>
          <w:p w:rsidR="004D6BE9" w:rsidRPr="004D6BE9" w:rsidRDefault="004D6BE9" w:rsidP="00505DB8">
            <w:pPr>
              <w:pStyle w:val="ListParagraph"/>
              <w:numPr>
                <w:ilvl w:val="0"/>
                <w:numId w:val="14"/>
              </w:numPr>
              <w:ind w:left="459" w:hanging="283"/>
              <w:rPr>
                <w:rFonts w:ascii="Arial" w:hAnsi="Arial" w:cs="Arial"/>
                <w:b/>
                <w:bCs/>
                <w:color w:val="003366"/>
              </w:rPr>
            </w:pPr>
            <w:r w:rsidRPr="004D6BE9">
              <w:rPr>
                <w:rFonts w:ascii="Arial" w:hAnsi="Arial" w:cs="Arial"/>
              </w:rPr>
              <w:t>Replacement batteries</w:t>
            </w:r>
          </w:p>
        </w:tc>
      </w:tr>
      <w:tr w:rsidR="006B4509" w:rsidRPr="002F3C21" w:rsidTr="009B0E16">
        <w:tc>
          <w:tcPr>
            <w:tcW w:w="3652" w:type="dxa"/>
          </w:tcPr>
          <w:p w:rsidR="006B4509" w:rsidRPr="002F3C21" w:rsidRDefault="006B4509" w:rsidP="00E4090C">
            <w:pPr>
              <w:jc w:val="center"/>
              <w:rPr>
                <w:rFonts w:ascii="Arial" w:hAnsi="Arial" w:cs="Arial"/>
              </w:rPr>
            </w:pP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711200" cy="88900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88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anchor distT="36576" distB="36576" distL="36576" distR="36576" simplePos="0" relativeHeight="251664384" behindDoc="0" locked="0" layoutInCell="1" allowOverlap="1">
                  <wp:simplePos x="0" y="0"/>
                  <wp:positionH relativeFrom="column">
                    <wp:posOffset>3825875</wp:posOffset>
                  </wp:positionH>
                  <wp:positionV relativeFrom="paragraph">
                    <wp:posOffset>6118225</wp:posOffset>
                  </wp:positionV>
                  <wp:extent cx="683895" cy="845820"/>
                  <wp:effectExtent l="19050" t="0" r="1905" b="0"/>
                  <wp:wrapNone/>
                  <wp:docPr id="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458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anchor distT="36576" distB="36576" distL="36576" distR="36576" simplePos="0" relativeHeight="251665408" behindDoc="0" locked="0" layoutInCell="1" allowOverlap="1">
                  <wp:simplePos x="0" y="0"/>
                  <wp:positionH relativeFrom="column">
                    <wp:posOffset>3825875</wp:posOffset>
                  </wp:positionH>
                  <wp:positionV relativeFrom="paragraph">
                    <wp:posOffset>6118225</wp:posOffset>
                  </wp:positionV>
                  <wp:extent cx="683895" cy="845820"/>
                  <wp:effectExtent l="19050" t="0" r="1905" b="0"/>
                  <wp:wrapNone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458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2F3C21">
              <w:rPr>
                <w:rFonts w:ascii="Arial" w:hAnsi="Arial" w:cs="Arial"/>
                <w:noProof/>
                <w:lang w:eastAsia="en-GB"/>
              </w:rPr>
              <w:drawing>
                <wp:anchor distT="36576" distB="36576" distL="36576" distR="36576" simplePos="0" relativeHeight="251663360" behindDoc="0" locked="0" layoutInCell="1" allowOverlap="1">
                  <wp:simplePos x="0" y="0"/>
                  <wp:positionH relativeFrom="column">
                    <wp:posOffset>3825875</wp:posOffset>
                  </wp:positionH>
                  <wp:positionV relativeFrom="paragraph">
                    <wp:posOffset>6118225</wp:posOffset>
                  </wp:positionV>
                  <wp:extent cx="683895" cy="845820"/>
                  <wp:effectExtent l="19050" t="0" r="1905" b="0"/>
                  <wp:wrapNone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8458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8" w:type="dxa"/>
          </w:tcPr>
          <w:p w:rsidR="006B4509" w:rsidRPr="00087F60" w:rsidRDefault="006B4509" w:rsidP="00F30EA9">
            <w:pPr>
              <w:jc w:val="center"/>
              <w:rPr>
                <w:rFonts w:ascii="Arial" w:hAnsi="Arial" w:cs="Arial"/>
              </w:rPr>
            </w:pPr>
            <w:r w:rsidRPr="00087F60"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711200" cy="901700"/>
                  <wp:effectExtent l="19050" t="0" r="0" b="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509" w:rsidRPr="002F3C21" w:rsidTr="009B0E16">
        <w:tc>
          <w:tcPr>
            <w:tcW w:w="3652" w:type="dxa"/>
          </w:tcPr>
          <w:p w:rsidR="00F30EA9" w:rsidRDefault="00F30EA9" w:rsidP="006B45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B4509" w:rsidRDefault="00907E9F" w:rsidP="006B45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Qualified M</w:t>
            </w:r>
            <w:r w:rsidR="006B4509" w:rsidRPr="002F3C21">
              <w:rPr>
                <w:rFonts w:ascii="Arial" w:hAnsi="Arial" w:cs="Arial"/>
                <w:sz w:val="16"/>
                <w:szCs w:val="16"/>
              </w:rPr>
              <w:t xml:space="preserve">ember of the </w:t>
            </w:r>
          </w:p>
          <w:p w:rsidR="006B4509" w:rsidRPr="002F3C21" w:rsidRDefault="006B4509" w:rsidP="006B4509">
            <w:pPr>
              <w:jc w:val="center"/>
              <w:rPr>
                <w:rFonts w:ascii="Arial" w:hAnsi="Arial" w:cs="Arial"/>
                <w:noProof/>
                <w:lang w:eastAsia="en-GB"/>
              </w:rPr>
            </w:pPr>
            <w:r w:rsidRPr="002F3C21">
              <w:rPr>
                <w:rFonts w:ascii="Arial" w:hAnsi="Arial" w:cs="Arial"/>
                <w:sz w:val="16"/>
                <w:szCs w:val="16"/>
              </w:rPr>
              <w:t>British Horological Institute (BHI)</w:t>
            </w:r>
          </w:p>
        </w:tc>
        <w:tc>
          <w:tcPr>
            <w:tcW w:w="3778" w:type="dxa"/>
          </w:tcPr>
          <w:p w:rsidR="00F30EA9" w:rsidRDefault="00F30EA9" w:rsidP="00E4090C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B4509" w:rsidRDefault="006B4509" w:rsidP="00E4090C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3C21">
              <w:rPr>
                <w:rFonts w:ascii="Arial" w:hAnsi="Arial" w:cs="Arial"/>
                <w:sz w:val="16"/>
                <w:szCs w:val="16"/>
              </w:rPr>
              <w:t>Member of the British Watch</w:t>
            </w:r>
          </w:p>
          <w:p w:rsidR="006B4509" w:rsidRPr="002F3C21" w:rsidRDefault="006B4509" w:rsidP="00E4090C">
            <w:pPr>
              <w:widowControl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F3C21">
              <w:rPr>
                <w:rFonts w:ascii="Arial" w:hAnsi="Arial" w:cs="Arial"/>
                <w:sz w:val="16"/>
                <w:szCs w:val="16"/>
              </w:rPr>
              <w:t xml:space="preserve"> and Clockmakers Guild</w:t>
            </w:r>
          </w:p>
        </w:tc>
      </w:tr>
    </w:tbl>
    <w:tbl>
      <w:tblPr>
        <w:tblW w:w="0" w:type="auto"/>
        <w:tblLook w:val="0000"/>
      </w:tblPr>
      <w:tblGrid>
        <w:gridCol w:w="2240"/>
        <w:gridCol w:w="2240"/>
        <w:gridCol w:w="2240"/>
      </w:tblGrid>
      <w:tr w:rsidR="00D7032F" w:rsidRPr="002F3C21" w:rsidTr="00D32923">
        <w:trPr>
          <w:trHeight w:val="1391"/>
        </w:trPr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2F" w:rsidRDefault="00D7032F" w:rsidP="00D32923">
            <w:pPr>
              <w:pStyle w:val="Heading3"/>
              <w:spacing w:before="0" w:after="120"/>
              <w:ind w:firstLine="340"/>
              <w:rPr>
                <w:color w:val="003366"/>
              </w:rPr>
            </w:pPr>
            <w:r w:rsidRPr="002F3C21">
              <w:rPr>
                <w:color w:val="003366"/>
              </w:rPr>
              <w:lastRenderedPageBreak/>
              <w:t>GUARANTEE</w:t>
            </w:r>
            <w:r w:rsidR="004D6BE9">
              <w:rPr>
                <w:color w:val="003366"/>
              </w:rPr>
              <w:t xml:space="preserve"> and QUALITY</w:t>
            </w:r>
            <w:r w:rsidR="009B0E16">
              <w:rPr>
                <w:color w:val="003366"/>
              </w:rPr>
              <w:t xml:space="preserve"> ASSURANCE</w:t>
            </w:r>
          </w:p>
          <w:p w:rsidR="00FD4726" w:rsidRPr="006B4509" w:rsidRDefault="00FD4726" w:rsidP="00FD4726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6B4509">
              <w:t xml:space="preserve">Genuine manufacturer’s parts </w:t>
            </w:r>
          </w:p>
          <w:p w:rsidR="00FD4726" w:rsidRPr="006B4509" w:rsidRDefault="00FD4726" w:rsidP="00FD4726">
            <w:pPr>
              <w:pStyle w:val="mainText"/>
              <w:numPr>
                <w:ilvl w:val="0"/>
                <w:numId w:val="1"/>
              </w:numPr>
              <w:ind w:left="426" w:hanging="86"/>
            </w:pPr>
            <w:r w:rsidRPr="006B4509">
              <w:t>Detailed estimate, provided free for most watches</w:t>
            </w:r>
          </w:p>
          <w:p w:rsidR="00FD4726" w:rsidRPr="006B4509" w:rsidRDefault="00F30EA9" w:rsidP="00FD4726">
            <w:pPr>
              <w:pStyle w:val="mainText"/>
              <w:numPr>
                <w:ilvl w:val="0"/>
                <w:numId w:val="1"/>
              </w:numPr>
              <w:ind w:left="426" w:hanging="86"/>
            </w:pPr>
            <w:r>
              <w:t>N</w:t>
            </w:r>
            <w:r w:rsidR="00FD4726" w:rsidRPr="006B4509">
              <w:t>ew seals</w:t>
            </w:r>
            <w:r w:rsidR="002C4B91">
              <w:t xml:space="preserve"> fitt</w:t>
            </w:r>
            <w:r>
              <w:t>ed with replacement glasses</w:t>
            </w:r>
          </w:p>
          <w:p w:rsidR="00FD4726" w:rsidRPr="006B4509" w:rsidRDefault="00FD4726" w:rsidP="006B450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6B4509">
              <w:rPr>
                <w:rFonts w:ascii="Arial" w:hAnsi="Arial" w:cs="Arial"/>
              </w:rPr>
              <w:t>Direct consultation with the watch repairer</w:t>
            </w:r>
          </w:p>
          <w:p w:rsidR="00D7032F" w:rsidRPr="006B4509" w:rsidRDefault="00D7032F" w:rsidP="00D32923">
            <w:pPr>
              <w:pStyle w:val="mainText"/>
              <w:numPr>
                <w:ilvl w:val="0"/>
                <w:numId w:val="2"/>
              </w:numPr>
            </w:pPr>
            <w:r w:rsidRPr="006B4509">
              <w:t>Workmanship is guaranteed for one year</w:t>
            </w:r>
          </w:p>
          <w:p w:rsidR="00D7032F" w:rsidRDefault="00D7032F" w:rsidP="00D32923">
            <w:pPr>
              <w:pStyle w:val="mainText"/>
              <w:numPr>
                <w:ilvl w:val="0"/>
                <w:numId w:val="2"/>
              </w:numPr>
            </w:pPr>
            <w:r w:rsidRPr="006B4509">
              <w:t>British Horological Institute Code of Practice</w:t>
            </w:r>
          </w:p>
          <w:p w:rsidR="00502021" w:rsidRPr="002F3C21" w:rsidRDefault="00502021" w:rsidP="00502021">
            <w:pPr>
              <w:pStyle w:val="mainText"/>
              <w:ind w:left="720"/>
            </w:pPr>
          </w:p>
        </w:tc>
      </w:tr>
      <w:tr w:rsidR="00D7032F" w:rsidRPr="002F3C21" w:rsidTr="00D32923"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032F" w:rsidRPr="002F3C21" w:rsidRDefault="00D7032F" w:rsidP="00D32923">
            <w:pPr>
              <w:pStyle w:val="Heading3"/>
              <w:spacing w:before="0" w:after="120"/>
              <w:ind w:firstLine="340"/>
              <w:rPr>
                <w:sz w:val="24"/>
                <w:szCs w:val="8"/>
              </w:rPr>
            </w:pPr>
            <w:r w:rsidRPr="002F3C21">
              <w:rPr>
                <w:color w:val="003366"/>
              </w:rPr>
              <w:t>PAYMENT</w:t>
            </w:r>
          </w:p>
          <w:p w:rsidR="00D7032F" w:rsidRPr="002F3C21" w:rsidRDefault="00D7032F" w:rsidP="00D32923">
            <w:pPr>
              <w:pStyle w:val="mainText"/>
              <w:numPr>
                <w:ilvl w:val="0"/>
                <w:numId w:val="3"/>
              </w:numPr>
            </w:pPr>
            <w:r w:rsidRPr="002F3C21">
              <w:t>Cheque with cheque card</w:t>
            </w:r>
          </w:p>
          <w:p w:rsidR="00D7032F" w:rsidRPr="002F3C21" w:rsidRDefault="00D7032F" w:rsidP="00D32923">
            <w:pPr>
              <w:pStyle w:val="mainText"/>
              <w:numPr>
                <w:ilvl w:val="0"/>
                <w:numId w:val="3"/>
              </w:numPr>
            </w:pPr>
            <w:r w:rsidRPr="002F3C21">
              <w:t>All Major Credit Cards (Visa, MasterCard, etc)</w:t>
            </w:r>
          </w:p>
          <w:p w:rsidR="00D7032F" w:rsidRPr="002F3C21" w:rsidRDefault="00D7032F" w:rsidP="00D32923">
            <w:pPr>
              <w:pStyle w:val="mainText"/>
              <w:numPr>
                <w:ilvl w:val="0"/>
                <w:numId w:val="3"/>
              </w:numPr>
            </w:pPr>
            <w:r w:rsidRPr="002F3C21">
              <w:t>Cash on delivery</w:t>
            </w:r>
          </w:p>
          <w:p w:rsidR="00D7032F" w:rsidRDefault="00D7032F" w:rsidP="00D7032F">
            <w:pPr>
              <w:pStyle w:val="mainText"/>
              <w:numPr>
                <w:ilvl w:val="0"/>
                <w:numId w:val="3"/>
              </w:numPr>
            </w:pPr>
            <w:r w:rsidRPr="002F3C21">
              <w:t>Deposits welcome</w:t>
            </w:r>
          </w:p>
          <w:p w:rsidR="00F30EA9" w:rsidRPr="002F3C21" w:rsidRDefault="00F30EA9" w:rsidP="00F30EA9">
            <w:pPr>
              <w:pStyle w:val="mainText"/>
              <w:ind w:left="720"/>
            </w:pPr>
          </w:p>
        </w:tc>
      </w:tr>
      <w:tr w:rsidR="00D7032F" w:rsidRPr="002F3C21" w:rsidTr="00D32923">
        <w:trPr>
          <w:cantSplit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D7032F" w:rsidRPr="002F3C21" w:rsidRDefault="00D7032F" w:rsidP="00F30EA9">
            <w:pPr>
              <w:pStyle w:val="mainText"/>
              <w:jc w:val="center"/>
              <w:rPr>
                <w:sz w:val="20"/>
              </w:rPr>
            </w:pPr>
            <w:r w:rsidRPr="002F3C21">
              <w:rPr>
                <w:noProof/>
                <w:sz w:val="20"/>
              </w:rPr>
              <w:drawing>
                <wp:inline distT="0" distB="0" distL="0" distR="0">
                  <wp:extent cx="635000" cy="419100"/>
                  <wp:effectExtent l="19050" t="0" r="0" b="0"/>
                  <wp:docPr id="11" name="Picture 4" descr="v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D7032F" w:rsidRPr="002F3C21" w:rsidRDefault="00D7032F" w:rsidP="00F30EA9">
            <w:pPr>
              <w:pStyle w:val="mainText"/>
              <w:jc w:val="center"/>
              <w:rPr>
                <w:sz w:val="20"/>
              </w:rPr>
            </w:pPr>
            <w:r w:rsidRPr="002F3C21">
              <w:rPr>
                <w:noProof/>
                <w:sz w:val="20"/>
              </w:rPr>
              <w:drawing>
                <wp:inline distT="0" distB="0" distL="0" distR="0">
                  <wp:extent cx="635000" cy="431800"/>
                  <wp:effectExtent l="19050" t="0" r="0" b="0"/>
                  <wp:docPr id="12" name="Picture 5" descr="master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ster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F30EA9" w:rsidRDefault="00D7032F" w:rsidP="00F30EA9">
            <w:pPr>
              <w:pStyle w:val="mainText"/>
              <w:jc w:val="center"/>
              <w:rPr>
                <w:sz w:val="20"/>
              </w:rPr>
            </w:pPr>
            <w:r w:rsidRPr="002F3C21">
              <w:rPr>
                <w:noProof/>
                <w:sz w:val="20"/>
              </w:rPr>
              <w:drawing>
                <wp:inline distT="0" distB="0" distL="0" distR="0">
                  <wp:extent cx="787400" cy="469900"/>
                  <wp:effectExtent l="19050" t="0" r="0" b="0"/>
                  <wp:docPr id="13" name="Picture 6" descr="american 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merican 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0EA9" w:rsidRPr="002F3C21" w:rsidRDefault="00F30EA9" w:rsidP="00F30EA9">
            <w:pPr>
              <w:pStyle w:val="mainText"/>
              <w:jc w:val="center"/>
              <w:rPr>
                <w:sz w:val="20"/>
              </w:rPr>
            </w:pPr>
          </w:p>
        </w:tc>
      </w:tr>
      <w:tr w:rsidR="00D7032F" w:rsidRPr="002F3C21" w:rsidTr="00D32923">
        <w:tc>
          <w:tcPr>
            <w:tcW w:w="67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D7032F" w:rsidRPr="002F3C21" w:rsidRDefault="00D7032F" w:rsidP="00D32923">
            <w:pPr>
              <w:pStyle w:val="mainText"/>
              <w:jc w:val="center"/>
            </w:pPr>
            <w:r w:rsidRPr="002F3C21">
              <w:t>Shou</w:t>
            </w:r>
            <w:r w:rsidR="00395468">
              <w:t>ld an estimate not be accepted,</w:t>
            </w:r>
          </w:p>
          <w:p w:rsidR="00D7032F" w:rsidRPr="00D7032F" w:rsidRDefault="00D7032F" w:rsidP="00D7032F">
            <w:pPr>
              <w:pStyle w:val="mainText"/>
              <w:jc w:val="center"/>
            </w:pPr>
            <w:r w:rsidRPr="002F3C21">
              <w:t>a small charge is made for the work and time involved.</w:t>
            </w:r>
            <w:r w:rsidRPr="002F3C21">
              <w:rPr>
                <w:sz w:val="20"/>
              </w:rPr>
              <w:t xml:space="preserve"> </w:t>
            </w:r>
          </w:p>
        </w:tc>
      </w:tr>
    </w:tbl>
    <w:p w:rsidR="0065496B" w:rsidRPr="002F3C21" w:rsidRDefault="0065496B" w:rsidP="00D7032F">
      <w:pPr>
        <w:pStyle w:val="Heading3"/>
        <w:rPr>
          <w:color w:val="003366"/>
          <w:sz w:val="24"/>
        </w:rPr>
      </w:pPr>
      <w:r w:rsidRPr="002F3C21">
        <w:rPr>
          <w:color w:val="003366"/>
          <w:sz w:val="24"/>
        </w:rPr>
        <w:t>CONTACT DETAILS</w:t>
      </w:r>
    </w:p>
    <w:tbl>
      <w:tblPr>
        <w:tblW w:w="0" w:type="auto"/>
        <w:tblInd w:w="-34" w:type="dxa"/>
        <w:tblLook w:val="0000"/>
      </w:tblPr>
      <w:tblGrid>
        <w:gridCol w:w="1985"/>
        <w:gridCol w:w="4820"/>
      </w:tblGrid>
      <w:tr w:rsidR="0065496B" w:rsidRPr="002F3C21" w:rsidTr="00087F60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F3C21" w:rsidRDefault="0065496B" w:rsidP="00D7032F">
            <w:pPr>
              <w:pStyle w:val="infoText"/>
              <w:rPr>
                <w:b w:val="0"/>
                <w:bCs w:val="0"/>
                <w:i/>
                <w:iCs/>
              </w:rPr>
            </w:pPr>
            <w:r w:rsidRPr="002F3C21">
              <w:rPr>
                <w:b w:val="0"/>
                <w:bCs w:val="0"/>
                <w:i/>
                <w:iCs/>
              </w:rPr>
              <w:t>Local call rate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858DE" w:rsidRDefault="0065496B" w:rsidP="00C805F7">
            <w:pPr>
              <w:pStyle w:val="infoText"/>
            </w:pPr>
            <w:r w:rsidRPr="002858DE">
              <w:t xml:space="preserve">0845 </w:t>
            </w:r>
            <w:r w:rsidR="00DC3BEA" w:rsidRPr="002858DE">
              <w:t>4</w:t>
            </w:r>
            <w:r w:rsidRPr="002858DE">
              <w:t>5</w:t>
            </w:r>
            <w:r w:rsidR="008C73DA">
              <w:t xml:space="preserve"> </w:t>
            </w:r>
            <w:r w:rsidR="00DC3BEA" w:rsidRPr="002858DE">
              <w:t>9</w:t>
            </w:r>
            <w:r w:rsidRPr="002858DE">
              <w:t xml:space="preserve"> </w:t>
            </w:r>
            <w:r w:rsidR="00DC3BEA" w:rsidRPr="002858DE">
              <w:t>0</w:t>
            </w:r>
            <w:r w:rsidRPr="002858DE">
              <w:t>1</w:t>
            </w:r>
            <w:r w:rsidR="00DC3BEA" w:rsidRPr="002858DE">
              <w:t>47</w:t>
            </w:r>
          </w:p>
        </w:tc>
      </w:tr>
      <w:tr w:rsidR="0065496B" w:rsidRPr="002F3C21" w:rsidTr="00087F60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F3C21" w:rsidRDefault="0065496B" w:rsidP="00D7032F">
            <w:pPr>
              <w:pStyle w:val="infoText"/>
              <w:rPr>
                <w:b w:val="0"/>
                <w:bCs w:val="0"/>
                <w:i/>
                <w:iCs/>
              </w:rPr>
            </w:pPr>
            <w:r w:rsidRPr="002F3C21">
              <w:rPr>
                <w:b w:val="0"/>
                <w:bCs w:val="0"/>
                <w:i/>
                <w:iCs/>
              </w:rPr>
              <w:t>Local exchange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858DE" w:rsidRDefault="0065496B">
            <w:pPr>
              <w:pStyle w:val="infoText"/>
            </w:pPr>
            <w:r w:rsidRPr="002858DE">
              <w:t>01726 65287</w:t>
            </w:r>
          </w:p>
        </w:tc>
      </w:tr>
      <w:tr w:rsidR="0065496B" w:rsidRPr="002F3C21" w:rsidTr="00087F60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F3C21" w:rsidRDefault="0065496B" w:rsidP="00D7032F">
            <w:pPr>
              <w:pStyle w:val="infoText"/>
              <w:rPr>
                <w:b w:val="0"/>
                <w:bCs w:val="0"/>
                <w:i/>
                <w:iCs/>
              </w:rPr>
            </w:pPr>
            <w:r w:rsidRPr="002F3C21">
              <w:rPr>
                <w:b w:val="0"/>
                <w:bCs w:val="0"/>
                <w:i/>
                <w:iCs/>
              </w:rPr>
              <w:t>Postal address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</w:tcMar>
          </w:tcPr>
          <w:p w:rsidR="0065496B" w:rsidRPr="002858DE" w:rsidRDefault="0065496B">
            <w:pPr>
              <w:pStyle w:val="infoText"/>
            </w:pPr>
            <w:r w:rsidRPr="002858DE">
              <w:t>Pendule House</w:t>
            </w:r>
            <w:r w:rsidR="00F30EA9">
              <w:t xml:space="preserve">, </w:t>
            </w:r>
            <w:r w:rsidRPr="002858DE">
              <w:t>14 St. Piran’s Close</w:t>
            </w:r>
          </w:p>
          <w:p w:rsidR="0065496B" w:rsidRPr="002858DE" w:rsidRDefault="0065496B" w:rsidP="00F30EA9">
            <w:pPr>
              <w:pStyle w:val="infoText"/>
            </w:pPr>
            <w:r w:rsidRPr="002858DE">
              <w:t>St Austell</w:t>
            </w:r>
            <w:r w:rsidR="00087F60" w:rsidRPr="002858DE">
              <w:t xml:space="preserve">, </w:t>
            </w:r>
            <w:r w:rsidRPr="002858DE">
              <w:t>Cornwall PL25 3TF</w:t>
            </w:r>
            <w:r w:rsidR="00087F60" w:rsidRPr="002858DE">
              <w:t>. UK</w:t>
            </w:r>
          </w:p>
        </w:tc>
      </w:tr>
    </w:tbl>
    <w:p w:rsidR="0065496B" w:rsidRDefault="0065496B">
      <w:pPr>
        <w:widowControl w:val="0"/>
        <w:rPr>
          <w:rFonts w:ascii="Arial" w:hAnsi="Arial" w:cs="Arial"/>
        </w:rPr>
      </w:pPr>
    </w:p>
    <w:p w:rsidR="00D7032F" w:rsidRPr="002F3C21" w:rsidRDefault="00F30EA9" w:rsidP="00087F60">
      <w:pPr>
        <w:widowControl w:val="0"/>
        <w:ind w:left="567" w:right="-25" w:hanging="567"/>
        <w:rPr>
          <w:rFonts w:ascii="Arial" w:hAnsi="Arial" w:cs="Arial"/>
        </w:rPr>
      </w:pPr>
      <w:r>
        <w:rPr>
          <w:rFonts w:ascii="Arial" w:hAnsi="Arial" w:cs="Arial"/>
        </w:rPr>
        <w:t>You can contact us by:</w:t>
      </w:r>
    </w:p>
    <w:p w:rsidR="00D7032F" w:rsidRPr="002F3C21" w:rsidRDefault="00D7032F" w:rsidP="00087F60">
      <w:pPr>
        <w:widowControl w:val="0"/>
        <w:numPr>
          <w:ilvl w:val="0"/>
          <w:numId w:val="7"/>
        </w:numPr>
        <w:ind w:left="567" w:right="-25" w:hanging="567"/>
        <w:rPr>
          <w:rFonts w:ascii="Arial" w:hAnsi="Arial" w:cs="Arial"/>
        </w:rPr>
      </w:pPr>
      <w:r w:rsidRPr="002F3C21">
        <w:rPr>
          <w:rFonts w:ascii="Arial" w:hAnsi="Arial" w:cs="Arial"/>
        </w:rPr>
        <w:t>postal service using the Royal Mail with their specia</w:t>
      </w:r>
      <w:r w:rsidR="00F30EA9">
        <w:rPr>
          <w:rFonts w:ascii="Arial" w:hAnsi="Arial" w:cs="Arial"/>
        </w:rPr>
        <w:t>l delivery insurance protection</w:t>
      </w:r>
    </w:p>
    <w:p w:rsidR="00D7032F" w:rsidRPr="00641987" w:rsidRDefault="00D7032F" w:rsidP="00087F60">
      <w:pPr>
        <w:widowControl w:val="0"/>
        <w:numPr>
          <w:ilvl w:val="0"/>
          <w:numId w:val="7"/>
        </w:numPr>
        <w:ind w:left="567" w:right="-25" w:hanging="567"/>
        <w:rPr>
          <w:rFonts w:ascii="Arial" w:hAnsi="Arial" w:cs="Arial"/>
          <w:bCs/>
        </w:rPr>
      </w:pPr>
      <w:r w:rsidRPr="00641987">
        <w:rPr>
          <w:rFonts w:ascii="Arial" w:hAnsi="Arial" w:cs="Arial"/>
          <w:bCs/>
        </w:rPr>
        <w:t>a personal vi</w:t>
      </w:r>
      <w:r w:rsidR="00F30EA9" w:rsidRPr="00641987">
        <w:rPr>
          <w:rFonts w:ascii="Arial" w:hAnsi="Arial" w:cs="Arial"/>
          <w:bCs/>
        </w:rPr>
        <w:t>sit by pre-arranged appointment</w:t>
      </w:r>
    </w:p>
    <w:p w:rsidR="002858DE" w:rsidRPr="00F30EA9" w:rsidRDefault="00F30EA9" w:rsidP="00F30EA9">
      <w:pPr>
        <w:widowControl w:val="0"/>
        <w:ind w:right="-25"/>
        <w:jc w:val="center"/>
        <w:rPr>
          <w:rFonts w:ascii="Arial" w:hAnsi="Arial" w:cs="Arial"/>
          <w:b/>
          <w:i/>
          <w:color w:val="003366"/>
          <w:sz w:val="28"/>
          <w:szCs w:val="28"/>
        </w:rPr>
      </w:pPr>
      <w:r>
        <w:rPr>
          <w:rFonts w:ascii="Arial" w:hAnsi="Arial" w:cs="Arial"/>
          <w:b/>
          <w:bCs/>
        </w:rPr>
        <w:br w:type="column"/>
      </w:r>
      <w:r w:rsidR="002858DE" w:rsidRPr="00F30EA9">
        <w:rPr>
          <w:rFonts w:ascii="Arial" w:hAnsi="Arial" w:cs="Arial"/>
          <w:b/>
          <w:i/>
          <w:color w:val="003366"/>
          <w:sz w:val="28"/>
          <w:szCs w:val="28"/>
        </w:rPr>
        <w:lastRenderedPageBreak/>
        <w:t>‘Timeless craftsmanship with today’s technology’</w:t>
      </w:r>
    </w:p>
    <w:p w:rsidR="002858DE" w:rsidRPr="002858DE" w:rsidRDefault="002858DE" w:rsidP="002858DE">
      <w:pPr>
        <w:rPr>
          <w:lang w:val="en-US"/>
        </w:rPr>
      </w:pPr>
    </w:p>
    <w:p w:rsidR="0065496B" w:rsidRPr="002F3C21" w:rsidRDefault="0065496B" w:rsidP="00F30EA9">
      <w:pPr>
        <w:pStyle w:val="Heading3"/>
        <w:spacing w:before="60"/>
        <w:rPr>
          <w:szCs w:val="8"/>
        </w:rPr>
      </w:pPr>
      <w:r w:rsidRPr="002F3C21">
        <w:rPr>
          <w:color w:val="003366"/>
        </w:rPr>
        <w:t>RESUME</w:t>
      </w:r>
    </w:p>
    <w:p w:rsidR="0065496B" w:rsidRPr="002858DE" w:rsidRDefault="0065496B" w:rsidP="00CC6D6E">
      <w:pPr>
        <w:pStyle w:val="mainText"/>
        <w:spacing w:before="60" w:after="60"/>
        <w:rPr>
          <w:sz w:val="22"/>
          <w:szCs w:val="22"/>
        </w:rPr>
      </w:pPr>
      <w:r w:rsidRPr="002858DE">
        <w:rPr>
          <w:sz w:val="22"/>
          <w:szCs w:val="22"/>
        </w:rPr>
        <w:t>As a Rolex trained watch repairer, Robert offers the full range of services and repair of the</w:t>
      </w:r>
      <w:r w:rsidR="00CC6D6E" w:rsidRPr="002858DE">
        <w:rPr>
          <w:sz w:val="22"/>
          <w:szCs w:val="22"/>
        </w:rPr>
        <w:t>se</w:t>
      </w:r>
      <w:r w:rsidRPr="002858DE">
        <w:rPr>
          <w:sz w:val="22"/>
          <w:szCs w:val="22"/>
        </w:rPr>
        <w:t xml:space="preserve"> watches</w:t>
      </w:r>
      <w:r w:rsidR="00CC6D6E" w:rsidRPr="002858DE">
        <w:rPr>
          <w:sz w:val="22"/>
          <w:szCs w:val="22"/>
        </w:rPr>
        <w:t>,</w:t>
      </w:r>
      <w:r w:rsidRPr="002858DE">
        <w:rPr>
          <w:sz w:val="22"/>
          <w:szCs w:val="22"/>
        </w:rPr>
        <w:t xml:space="preserve"> with supply of genuine spare parts direct from Rolex. He sources genuine replacement parts for other </w:t>
      </w:r>
      <w:r w:rsidR="00CC6D6E" w:rsidRPr="002858DE">
        <w:rPr>
          <w:sz w:val="22"/>
          <w:szCs w:val="22"/>
        </w:rPr>
        <w:t>brands (e.g. Omega, Longines,</w:t>
      </w:r>
      <w:r w:rsidR="00AA2BFA">
        <w:rPr>
          <w:sz w:val="22"/>
          <w:szCs w:val="22"/>
        </w:rPr>
        <w:t xml:space="preserve"> </w:t>
      </w:r>
      <w:r w:rsidR="00CC6D6E" w:rsidRPr="002858DE">
        <w:rPr>
          <w:sz w:val="22"/>
          <w:szCs w:val="22"/>
        </w:rPr>
        <w:t xml:space="preserve">Tissot </w:t>
      </w:r>
      <w:r w:rsidRPr="002858DE">
        <w:rPr>
          <w:sz w:val="22"/>
          <w:szCs w:val="22"/>
        </w:rPr>
        <w:t>) from reputable suppliers.</w:t>
      </w:r>
    </w:p>
    <w:p w:rsidR="0065496B" w:rsidRPr="002858DE" w:rsidRDefault="0065496B">
      <w:pPr>
        <w:pStyle w:val="mainText"/>
        <w:spacing w:before="60" w:after="60"/>
        <w:rPr>
          <w:sz w:val="22"/>
          <w:szCs w:val="22"/>
        </w:rPr>
      </w:pPr>
      <w:r w:rsidRPr="002858DE">
        <w:rPr>
          <w:sz w:val="22"/>
          <w:szCs w:val="22"/>
        </w:rPr>
        <w:t>Robert has owned his watch servicing business since 1975. His professional qualification was achieved by</w:t>
      </w:r>
      <w:r w:rsidR="008C73DA">
        <w:rPr>
          <w:sz w:val="22"/>
          <w:szCs w:val="22"/>
        </w:rPr>
        <w:t xml:space="preserve"> practical examination in 1977,</w:t>
      </w:r>
      <w:r w:rsidRPr="002858DE">
        <w:rPr>
          <w:sz w:val="22"/>
          <w:szCs w:val="22"/>
        </w:rPr>
        <w:t xml:space="preserve"> MBHI Member of the British Horological Institute.</w:t>
      </w:r>
    </w:p>
    <w:p w:rsidR="0065496B" w:rsidRPr="002858DE" w:rsidRDefault="0065496B">
      <w:pPr>
        <w:pStyle w:val="mainText"/>
        <w:spacing w:before="60" w:after="60"/>
        <w:rPr>
          <w:sz w:val="22"/>
          <w:szCs w:val="22"/>
        </w:rPr>
      </w:pPr>
      <w:r w:rsidRPr="002858DE">
        <w:rPr>
          <w:sz w:val="22"/>
          <w:szCs w:val="22"/>
        </w:rPr>
        <w:t>Further professional development has included Omega Watch Company London, ETA Watch Factory in Switzerland, Rolex Watch Company UK &amp; British Horologi</w:t>
      </w:r>
      <w:r w:rsidR="00F30EA9">
        <w:rPr>
          <w:sz w:val="22"/>
          <w:szCs w:val="22"/>
        </w:rPr>
        <w:t>cal Institute Education Trust.</w:t>
      </w:r>
    </w:p>
    <w:p w:rsidR="0065496B" w:rsidRPr="002858DE" w:rsidRDefault="0065496B" w:rsidP="00CC6D6E">
      <w:pPr>
        <w:pStyle w:val="mainText"/>
        <w:spacing w:before="60" w:after="60"/>
        <w:rPr>
          <w:sz w:val="22"/>
          <w:szCs w:val="22"/>
        </w:rPr>
      </w:pPr>
      <w:r w:rsidRPr="002858DE">
        <w:rPr>
          <w:sz w:val="22"/>
          <w:szCs w:val="22"/>
        </w:rPr>
        <w:t>Robert is an active member of the South West branch of the BHI</w:t>
      </w:r>
      <w:r w:rsidR="00CC6D6E" w:rsidRPr="002858DE">
        <w:rPr>
          <w:sz w:val="22"/>
          <w:szCs w:val="22"/>
        </w:rPr>
        <w:t xml:space="preserve">.  He is involved </w:t>
      </w:r>
      <w:r w:rsidR="009B0E16">
        <w:rPr>
          <w:sz w:val="22"/>
          <w:szCs w:val="22"/>
        </w:rPr>
        <w:t>in education,</w:t>
      </w:r>
      <w:r w:rsidR="00CC6D6E" w:rsidRPr="002858DE">
        <w:rPr>
          <w:sz w:val="22"/>
          <w:szCs w:val="22"/>
        </w:rPr>
        <w:t xml:space="preserve"> men</w:t>
      </w:r>
      <w:r w:rsidR="00F30EA9">
        <w:rPr>
          <w:sz w:val="22"/>
          <w:szCs w:val="22"/>
        </w:rPr>
        <w:t xml:space="preserve">toring and </w:t>
      </w:r>
      <w:r w:rsidR="009B0E16">
        <w:rPr>
          <w:sz w:val="22"/>
          <w:szCs w:val="22"/>
        </w:rPr>
        <w:t>assessment of horological students.</w:t>
      </w:r>
    </w:p>
    <w:p w:rsidR="0065496B" w:rsidRPr="008C73DA" w:rsidRDefault="00711FDD" w:rsidP="008C73DA">
      <w:pPr>
        <w:pStyle w:val="Heading3"/>
        <w:rPr>
          <w:color w:val="002060"/>
        </w:rPr>
      </w:pPr>
      <w:r w:rsidRPr="008C73DA">
        <w:rPr>
          <w:color w:val="002060"/>
        </w:rPr>
        <w:t>DO YOU KNOW HOW FAR YOUR WATCH TRAVELS?</w:t>
      </w:r>
    </w:p>
    <w:p w:rsidR="00711FDD" w:rsidRDefault="00711FDD" w:rsidP="00D63C79">
      <w:pPr>
        <w:pStyle w:val="mainText"/>
        <w:numPr>
          <w:ilvl w:val="0"/>
          <w:numId w:val="11"/>
        </w:numPr>
        <w:ind w:left="426" w:hanging="426"/>
      </w:pPr>
      <w:r>
        <w:t xml:space="preserve">In a mechanical watch, the balance wheel </w:t>
      </w:r>
      <w:r w:rsidR="00CF0AD9">
        <w:t xml:space="preserve">turns as fast as the wheels of a car travelling at 60m.p.h. – and a watch runs its race with time </w:t>
      </w:r>
      <w:r w:rsidR="00AA2BFA">
        <w:t>nonstop</w:t>
      </w:r>
      <w:r w:rsidR="00CF0AD9">
        <w:t xml:space="preserve"> for 24 hours per day, every day, for years on end.  </w:t>
      </w:r>
    </w:p>
    <w:p w:rsidR="00D63C79" w:rsidRDefault="00CF0AD9" w:rsidP="00D63C79">
      <w:pPr>
        <w:pStyle w:val="mainText"/>
        <w:numPr>
          <w:ilvl w:val="0"/>
          <w:numId w:val="11"/>
        </w:numPr>
        <w:ind w:left="426" w:hanging="426"/>
      </w:pPr>
      <w:r>
        <w:t xml:space="preserve">A balance wheel makes 120 million revolutions every 9 months.  The equivalent journey in a car would be 160,000 miles.  In ten years that is the equivalent of </w:t>
      </w:r>
      <w:r w:rsidR="00D63C79">
        <w:t>2 million miles</w:t>
      </w:r>
      <w:r>
        <w:t>.</w:t>
      </w:r>
      <w:r w:rsidR="00505DB8">
        <w:t xml:space="preserve">        </w:t>
      </w:r>
      <w:r w:rsidR="00505DB8" w:rsidRPr="00505DB8">
        <w:rPr>
          <w:i/>
          <w:sz w:val="20"/>
          <w:szCs w:val="20"/>
        </w:rPr>
        <w:t>Source unknown</w:t>
      </w:r>
    </w:p>
    <w:p w:rsidR="00AA2BFA" w:rsidRDefault="00AA2BFA" w:rsidP="00AA2BFA">
      <w:pPr>
        <w:pStyle w:val="mainText"/>
        <w:ind w:left="426"/>
      </w:pPr>
    </w:p>
    <w:p w:rsidR="00D63C79" w:rsidRPr="008C73DA" w:rsidRDefault="00AA2BFA" w:rsidP="008C73DA">
      <w:pPr>
        <w:pStyle w:val="Heading3"/>
        <w:rPr>
          <w:color w:val="002060"/>
        </w:rPr>
      </w:pPr>
      <w:r w:rsidRPr="008C73DA">
        <w:rPr>
          <w:color w:val="002060"/>
        </w:rPr>
        <w:t>TAKING CARE OF YOUR WATCH</w:t>
      </w:r>
    </w:p>
    <w:p w:rsidR="00D63C79" w:rsidRDefault="00D63C79" w:rsidP="00641987">
      <w:pPr>
        <w:pStyle w:val="mainText"/>
        <w:numPr>
          <w:ilvl w:val="0"/>
          <w:numId w:val="13"/>
        </w:numPr>
        <w:ind w:left="426" w:hanging="284"/>
      </w:pPr>
      <w:r>
        <w:t>Use a qualified watch repairer who sources genuine parts</w:t>
      </w:r>
    </w:p>
    <w:p w:rsidR="00D63C79" w:rsidRDefault="00D63C79" w:rsidP="00641987">
      <w:pPr>
        <w:pStyle w:val="mainText"/>
        <w:numPr>
          <w:ilvl w:val="0"/>
          <w:numId w:val="13"/>
        </w:numPr>
        <w:ind w:left="426" w:hanging="284"/>
      </w:pPr>
      <w:r>
        <w:t>Take off your watch before shower</w:t>
      </w:r>
      <w:r w:rsidR="00AA2BFA">
        <w:t>ing</w:t>
      </w:r>
      <w:r w:rsidR="00641987">
        <w:t>, bathing,</w:t>
      </w:r>
      <w:r>
        <w:t xml:space="preserve"> gardening</w:t>
      </w:r>
    </w:p>
    <w:p w:rsidR="00D63C79" w:rsidRDefault="00D63C79" w:rsidP="00641987">
      <w:pPr>
        <w:pStyle w:val="mainText"/>
        <w:numPr>
          <w:ilvl w:val="0"/>
          <w:numId w:val="13"/>
        </w:numPr>
        <w:ind w:left="426" w:hanging="284"/>
      </w:pPr>
      <w:r>
        <w:t>Follow recommended depth levels of water resistance</w:t>
      </w:r>
    </w:p>
    <w:p w:rsidR="00CF0AD9" w:rsidRDefault="00AA2BFA" w:rsidP="00641987">
      <w:pPr>
        <w:pStyle w:val="mainText"/>
        <w:numPr>
          <w:ilvl w:val="0"/>
          <w:numId w:val="13"/>
        </w:numPr>
        <w:ind w:left="426" w:hanging="284"/>
      </w:pPr>
      <w:r>
        <w:t>Hav</w:t>
      </w:r>
      <w:r w:rsidR="00D63C79">
        <w:t>e your watch service</w:t>
      </w:r>
      <w:r w:rsidR="00641987">
        <w:t>d</w:t>
      </w:r>
      <w:r w:rsidR="00D63C79">
        <w:t xml:space="preserve"> at regular intervals</w:t>
      </w:r>
      <w:r w:rsidR="00641987">
        <w:t xml:space="preserve">: </w:t>
      </w:r>
      <w:r w:rsidR="00D63C79">
        <w:t>at least 5 years</w:t>
      </w:r>
    </w:p>
    <w:p w:rsidR="00AA2BFA" w:rsidRDefault="00AA2BFA" w:rsidP="00AA2BFA">
      <w:pPr>
        <w:pStyle w:val="mainText"/>
        <w:ind w:left="720"/>
      </w:pPr>
    </w:p>
    <w:p w:rsidR="00AA2BFA" w:rsidRDefault="00641987" w:rsidP="00641987">
      <w:pPr>
        <w:pStyle w:val="mainText"/>
        <w:jc w:val="center"/>
      </w:pPr>
      <w:r>
        <w:rPr>
          <w:b/>
          <w:i/>
          <w:color w:val="002060"/>
        </w:rPr>
        <w:t>Give y</w:t>
      </w:r>
      <w:r w:rsidR="00AA2BFA" w:rsidRPr="00D63C79">
        <w:rPr>
          <w:b/>
          <w:i/>
          <w:color w:val="002060"/>
        </w:rPr>
        <w:t>our watch</w:t>
      </w:r>
      <w:r>
        <w:rPr>
          <w:b/>
          <w:i/>
          <w:color w:val="002060"/>
        </w:rPr>
        <w:t xml:space="preserve"> some TLC - it</w:t>
      </w:r>
      <w:r w:rsidR="00AA2BFA" w:rsidRPr="00D63C79">
        <w:rPr>
          <w:b/>
          <w:i/>
          <w:color w:val="002060"/>
        </w:rPr>
        <w:t xml:space="preserve"> travels further than your car</w:t>
      </w:r>
    </w:p>
    <w:p w:rsidR="00D63C79" w:rsidRDefault="00D63C79" w:rsidP="00D63C79">
      <w:pPr>
        <w:pStyle w:val="mainText"/>
      </w:pPr>
    </w:p>
    <w:p w:rsidR="00D63C79" w:rsidRPr="00D63C79" w:rsidRDefault="00D63C79">
      <w:pPr>
        <w:pStyle w:val="mainText"/>
        <w:jc w:val="center"/>
        <w:rPr>
          <w:b/>
          <w:i/>
          <w:color w:val="002060"/>
        </w:rPr>
      </w:pPr>
    </w:p>
    <w:sectPr w:rsidR="00D63C79" w:rsidRPr="00D63C79" w:rsidSect="00FA1143">
      <w:pgSz w:w="16838" w:h="11906" w:orient="landscape" w:code="9"/>
      <w:pgMar w:top="851" w:right="851" w:bottom="709" w:left="851" w:header="709" w:footer="149" w:gutter="0"/>
      <w:cols w:num="2" w:space="708" w:equalWidth="0">
        <w:col w:w="7214" w:space="708"/>
        <w:col w:w="7214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70A" w:rsidRDefault="001C370A" w:rsidP="00E60CB6">
      <w:r>
        <w:separator/>
      </w:r>
    </w:p>
  </w:endnote>
  <w:endnote w:type="continuationSeparator" w:id="0">
    <w:p w:rsidR="001C370A" w:rsidRDefault="001C370A" w:rsidP="00E60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70A" w:rsidRDefault="001C370A" w:rsidP="00E60CB6">
      <w:r>
        <w:separator/>
      </w:r>
    </w:p>
  </w:footnote>
  <w:footnote w:type="continuationSeparator" w:id="0">
    <w:p w:rsidR="001C370A" w:rsidRDefault="001C370A" w:rsidP="00E60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6D7"/>
      </v:shape>
    </w:pict>
  </w:numPicBullet>
  <w:abstractNum w:abstractNumId="0">
    <w:nsid w:val="178500F2"/>
    <w:multiLevelType w:val="hybridMultilevel"/>
    <w:tmpl w:val="F880D5DA"/>
    <w:lvl w:ilvl="0" w:tplc="5F0E25D0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04F"/>
    <w:multiLevelType w:val="hybridMultilevel"/>
    <w:tmpl w:val="0128945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B4C7F"/>
    <w:multiLevelType w:val="hybridMultilevel"/>
    <w:tmpl w:val="1E26135A"/>
    <w:lvl w:ilvl="0" w:tplc="5F0E2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288775EF"/>
    <w:multiLevelType w:val="hybridMultilevel"/>
    <w:tmpl w:val="22649E04"/>
    <w:lvl w:ilvl="0" w:tplc="5F0E2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299D2CE9"/>
    <w:multiLevelType w:val="hybridMultilevel"/>
    <w:tmpl w:val="4A7E4C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872E8"/>
    <w:multiLevelType w:val="hybridMultilevel"/>
    <w:tmpl w:val="019AE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77BA5"/>
    <w:multiLevelType w:val="hybridMultilevel"/>
    <w:tmpl w:val="61B0F2CA"/>
    <w:lvl w:ilvl="0" w:tplc="9E689288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F7E6B"/>
    <w:multiLevelType w:val="hybridMultilevel"/>
    <w:tmpl w:val="2D78CD1A"/>
    <w:lvl w:ilvl="0" w:tplc="700E34F4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8">
    <w:nsid w:val="526D74B5"/>
    <w:multiLevelType w:val="hybridMultilevel"/>
    <w:tmpl w:val="2C16B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82460"/>
    <w:multiLevelType w:val="hybridMultilevel"/>
    <w:tmpl w:val="4524E904"/>
    <w:lvl w:ilvl="0" w:tplc="5F0E2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5C544A70"/>
    <w:multiLevelType w:val="hybridMultilevel"/>
    <w:tmpl w:val="E06E8A64"/>
    <w:lvl w:ilvl="0" w:tplc="700E34F4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11">
    <w:nsid w:val="6E5744BC"/>
    <w:multiLevelType w:val="hybridMultilevel"/>
    <w:tmpl w:val="2E388F22"/>
    <w:lvl w:ilvl="0" w:tplc="700E34F4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12">
    <w:nsid w:val="7A416D8E"/>
    <w:multiLevelType w:val="hybridMultilevel"/>
    <w:tmpl w:val="49F6D68A"/>
    <w:lvl w:ilvl="0" w:tplc="700E34F4">
      <w:start w:val="1"/>
      <w:numFmt w:val="bullet"/>
      <w:lvlText w:val=""/>
      <w:lvlJc w:val="left"/>
      <w:pPr>
        <w:tabs>
          <w:tab w:val="num" w:pos="1119"/>
        </w:tabs>
        <w:ind w:left="11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13">
    <w:nsid w:val="7C227411"/>
    <w:multiLevelType w:val="hybridMultilevel"/>
    <w:tmpl w:val="182232B8"/>
    <w:lvl w:ilvl="0" w:tplc="9E689288">
      <w:start w:val="1"/>
      <w:numFmt w:val="bullet"/>
      <w:lvlText w:val="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12"/>
  </w:num>
  <w:num w:numId="8">
    <w:abstractNumId w:val="8"/>
  </w:num>
  <w:num w:numId="9">
    <w:abstractNumId w:val="4"/>
  </w:num>
  <w:num w:numId="10">
    <w:abstractNumId w:val="5"/>
  </w:num>
  <w:num w:numId="11">
    <w:abstractNumId w:val="13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3BEA"/>
    <w:rsid w:val="00017A0D"/>
    <w:rsid w:val="00056733"/>
    <w:rsid w:val="00084D19"/>
    <w:rsid w:val="00087F60"/>
    <w:rsid w:val="000D4A88"/>
    <w:rsid w:val="000E5F44"/>
    <w:rsid w:val="00150B01"/>
    <w:rsid w:val="00185C9F"/>
    <w:rsid w:val="001A674A"/>
    <w:rsid w:val="001C370A"/>
    <w:rsid w:val="001D1233"/>
    <w:rsid w:val="001E208A"/>
    <w:rsid w:val="002858DE"/>
    <w:rsid w:val="002B533D"/>
    <w:rsid w:val="002C4B91"/>
    <w:rsid w:val="002F3C21"/>
    <w:rsid w:val="00367167"/>
    <w:rsid w:val="00395468"/>
    <w:rsid w:val="003B1032"/>
    <w:rsid w:val="003C0075"/>
    <w:rsid w:val="003E5344"/>
    <w:rsid w:val="00411912"/>
    <w:rsid w:val="00463ADC"/>
    <w:rsid w:val="004716A5"/>
    <w:rsid w:val="004A41FC"/>
    <w:rsid w:val="004B47ED"/>
    <w:rsid w:val="004D6BE9"/>
    <w:rsid w:val="00502021"/>
    <w:rsid w:val="00505DB8"/>
    <w:rsid w:val="00532A5F"/>
    <w:rsid w:val="005520D4"/>
    <w:rsid w:val="00557EDC"/>
    <w:rsid w:val="00561871"/>
    <w:rsid w:val="00641987"/>
    <w:rsid w:val="0065496B"/>
    <w:rsid w:val="00670C83"/>
    <w:rsid w:val="0067475B"/>
    <w:rsid w:val="00676876"/>
    <w:rsid w:val="006B4509"/>
    <w:rsid w:val="006B46CC"/>
    <w:rsid w:val="006E224D"/>
    <w:rsid w:val="00703862"/>
    <w:rsid w:val="00711FDD"/>
    <w:rsid w:val="00712B11"/>
    <w:rsid w:val="0073454C"/>
    <w:rsid w:val="00760109"/>
    <w:rsid w:val="00785566"/>
    <w:rsid w:val="007C646F"/>
    <w:rsid w:val="007F0C7A"/>
    <w:rsid w:val="008C73DA"/>
    <w:rsid w:val="008E5C52"/>
    <w:rsid w:val="009071CE"/>
    <w:rsid w:val="00907E9F"/>
    <w:rsid w:val="009271A0"/>
    <w:rsid w:val="00952EF5"/>
    <w:rsid w:val="009548A3"/>
    <w:rsid w:val="00956E0F"/>
    <w:rsid w:val="0096666F"/>
    <w:rsid w:val="009B0E16"/>
    <w:rsid w:val="009C6EF8"/>
    <w:rsid w:val="009D743B"/>
    <w:rsid w:val="00A203E5"/>
    <w:rsid w:val="00A74611"/>
    <w:rsid w:val="00AA2BFA"/>
    <w:rsid w:val="00B01582"/>
    <w:rsid w:val="00B61E67"/>
    <w:rsid w:val="00B83A0A"/>
    <w:rsid w:val="00BD653B"/>
    <w:rsid w:val="00C0320A"/>
    <w:rsid w:val="00C36CE3"/>
    <w:rsid w:val="00C5005E"/>
    <w:rsid w:val="00C805F7"/>
    <w:rsid w:val="00C80F03"/>
    <w:rsid w:val="00C906CC"/>
    <w:rsid w:val="00CC5176"/>
    <w:rsid w:val="00CC6D6E"/>
    <w:rsid w:val="00CD5374"/>
    <w:rsid w:val="00CF0AD9"/>
    <w:rsid w:val="00CF294F"/>
    <w:rsid w:val="00D25503"/>
    <w:rsid w:val="00D61268"/>
    <w:rsid w:val="00D63C79"/>
    <w:rsid w:val="00D7032F"/>
    <w:rsid w:val="00DC3BEA"/>
    <w:rsid w:val="00DC45E4"/>
    <w:rsid w:val="00DE6747"/>
    <w:rsid w:val="00E228F4"/>
    <w:rsid w:val="00E6050D"/>
    <w:rsid w:val="00E60CB6"/>
    <w:rsid w:val="00E6240E"/>
    <w:rsid w:val="00E93DEA"/>
    <w:rsid w:val="00F30EA9"/>
    <w:rsid w:val="00F50E9B"/>
    <w:rsid w:val="00FA1143"/>
    <w:rsid w:val="00FD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6C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906CC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C906CC"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906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906CC"/>
    <w:rPr>
      <w:color w:val="0000FF"/>
      <w:u w:val="single"/>
    </w:rPr>
  </w:style>
  <w:style w:type="paragraph" w:customStyle="1" w:styleId="mainTextIntro">
    <w:name w:val="mainTextIntro"/>
    <w:basedOn w:val="Normal"/>
    <w:rsid w:val="00C906CC"/>
    <w:pPr>
      <w:widowControl w:val="0"/>
      <w:jc w:val="both"/>
    </w:pPr>
    <w:rPr>
      <w:rFonts w:ascii="Arial" w:hAnsi="Arial" w:cs="Arial"/>
      <w:color w:val="000000"/>
      <w:kern w:val="28"/>
      <w:sz w:val="28"/>
      <w:szCs w:val="28"/>
      <w:lang w:eastAsia="en-GB"/>
    </w:rPr>
  </w:style>
  <w:style w:type="paragraph" w:customStyle="1" w:styleId="infoText">
    <w:name w:val="infoText"/>
    <w:basedOn w:val="Normal"/>
    <w:rsid w:val="00C906CC"/>
    <w:rPr>
      <w:rFonts w:ascii="Arial" w:hAnsi="Arial" w:cs="Arial"/>
      <w:b/>
      <w:bCs/>
      <w:color w:val="000000"/>
      <w:kern w:val="28"/>
      <w:lang w:eastAsia="en-GB"/>
    </w:rPr>
  </w:style>
  <w:style w:type="paragraph" w:customStyle="1" w:styleId="mainText">
    <w:name w:val="mainText"/>
    <w:basedOn w:val="Normal"/>
    <w:rsid w:val="00C906CC"/>
    <w:pPr>
      <w:widowControl w:val="0"/>
      <w:jc w:val="both"/>
    </w:pPr>
    <w:rPr>
      <w:rFonts w:ascii="Arial" w:hAnsi="Arial" w:cs="Arial"/>
      <w:color w:val="000000"/>
      <w:kern w:val="28"/>
      <w:lang w:eastAsia="en-GB"/>
    </w:rPr>
  </w:style>
  <w:style w:type="paragraph" w:customStyle="1" w:styleId="Quotation">
    <w:name w:val="Quotation"/>
    <w:basedOn w:val="Normal"/>
    <w:rsid w:val="00C906CC"/>
    <w:pPr>
      <w:jc w:val="center"/>
    </w:pPr>
    <w:rPr>
      <w:i/>
      <w:iCs/>
      <w:color w:val="000000"/>
      <w:sz w:val="28"/>
      <w:szCs w:val="28"/>
    </w:rPr>
  </w:style>
  <w:style w:type="character" w:styleId="FollowedHyperlink">
    <w:name w:val="FollowedHyperlink"/>
    <w:basedOn w:val="DefaultParagraphFont"/>
    <w:rsid w:val="00C906CC"/>
    <w:rPr>
      <w:color w:val="800080"/>
      <w:u w:val="single"/>
    </w:rPr>
  </w:style>
  <w:style w:type="paragraph" w:styleId="BalloonText">
    <w:name w:val="Balloon Text"/>
    <w:basedOn w:val="Normal"/>
    <w:semiHidden/>
    <w:rsid w:val="00952E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0C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CB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60C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CB6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0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60CB6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D6BE9"/>
    <w:rPr>
      <w:rFonts w:ascii="Arial" w:hAnsi="Arial" w:cs="Arial"/>
      <w:b/>
      <w:b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4D6B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robertreeves.co.uk" TargetMode="External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DC983-D56B-4999-AFA0-1450630C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REEVES  MBHI</vt:lpstr>
    </vt:vector>
  </TitlesOfParts>
  <Company>Robert Reeves</Company>
  <LinksUpToDate>false</LinksUpToDate>
  <CharactersWithSpaces>3656</CharactersWithSpaces>
  <SharedDoc>false</SharedDoc>
  <HLinks>
    <vt:vector size="6" baseType="variant">
      <vt:variant>
        <vt:i4>2097256</vt:i4>
      </vt:variant>
      <vt:variant>
        <vt:i4>0</vt:i4>
      </vt:variant>
      <vt:variant>
        <vt:i4>0</vt:i4>
      </vt:variant>
      <vt:variant>
        <vt:i4>5</vt:i4>
      </vt:variant>
      <vt:variant>
        <vt:lpwstr>http://www.robertreeves.co.uk/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REEVES  MBHI</dc:title>
  <dc:creator>Robert Reeves</dc:creator>
  <cp:lastModifiedBy>Windows User</cp:lastModifiedBy>
  <cp:revision>5</cp:revision>
  <cp:lastPrinted>2009-09-09T15:41:00Z</cp:lastPrinted>
  <dcterms:created xsi:type="dcterms:W3CDTF">2009-09-09T13:16:00Z</dcterms:created>
  <dcterms:modified xsi:type="dcterms:W3CDTF">2009-12-28T15:02:00Z</dcterms:modified>
</cp:coreProperties>
</file>