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96B" w:rsidRPr="002F3C21" w:rsidRDefault="0065496B">
      <w:pPr>
        <w:rPr>
          <w:rFonts w:ascii="Arial" w:hAnsi="Arial" w:cs="Arial"/>
        </w:rPr>
      </w:pPr>
    </w:p>
    <w:tbl>
      <w:tblPr>
        <w:tblpPr w:leftFromText="180" w:rightFromText="180" w:horzAnchor="margin" w:tblpY="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36"/>
      </w:tblGrid>
      <w:tr w:rsidR="0065496B" w:rsidRPr="002F3C21" w:rsidTr="00E60CB6">
        <w:trPr>
          <w:trHeight w:val="10046"/>
        </w:trPr>
        <w:tc>
          <w:tcPr>
            <w:tcW w:w="6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6B" w:rsidRPr="002F3C21" w:rsidRDefault="00E93DEA">
            <w:pPr>
              <w:rPr>
                <w:rFonts w:ascii="Arial" w:hAnsi="Arial" w:cs="Arial"/>
              </w:rPr>
            </w:pPr>
            <w:r w:rsidRPr="002F3C21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>
                  <wp:extent cx="4241800" cy="5245100"/>
                  <wp:effectExtent l="1905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0" cy="524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6"/>
        <w:gridCol w:w="3384"/>
      </w:tblGrid>
      <w:tr w:rsidR="00E60CB6" w:rsidRPr="002F3C21" w:rsidTr="00E60CB6">
        <w:tc>
          <w:tcPr>
            <w:tcW w:w="3546" w:type="dxa"/>
          </w:tcPr>
          <w:p w:rsidR="00E60CB6" w:rsidRPr="002F3C21" w:rsidRDefault="00E60CB6">
            <w:pPr>
              <w:rPr>
                <w:rFonts w:ascii="Arial" w:hAnsi="Arial" w:cs="Arial"/>
              </w:rPr>
            </w:pPr>
            <w:r w:rsidRPr="002F3C21">
              <w:rPr>
                <w:rFonts w:ascii="Arial" w:hAnsi="Arial" w:cs="Arial"/>
                <w:noProof/>
                <w:lang w:eastAsia="en-GB"/>
              </w:rPr>
              <w:lastRenderedPageBreak/>
              <w:drawing>
                <wp:inline distT="0" distB="0" distL="0" distR="0">
                  <wp:extent cx="2254250" cy="2374900"/>
                  <wp:effectExtent l="19050" t="0" r="0" b="0"/>
                  <wp:docPr id="7" name="Picture 1" descr="C:\Users\Margaret\Pictures\16 Rob checking escapement under microscope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garet\Pictures\16 Rob checking escapement under microscope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0323" t="3947" r="6115" b="140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0" cy="237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</w:tcPr>
          <w:p w:rsidR="00E60CB6" w:rsidRPr="00FA1143" w:rsidRDefault="00E60CB6" w:rsidP="00E60CB6">
            <w:pPr>
              <w:pStyle w:val="Heading1"/>
              <w:rPr>
                <w:color w:val="365F91" w:themeColor="accent1" w:themeShade="BF"/>
                <w:w w:val="130"/>
                <w:sz w:val="20"/>
                <w:szCs w:val="20"/>
              </w:rPr>
            </w:pPr>
            <w:r w:rsidRPr="00FA1143">
              <w:rPr>
                <w:color w:val="365F91" w:themeColor="accent1" w:themeShade="BF"/>
                <w:w w:val="130"/>
                <w:sz w:val="24"/>
                <w:szCs w:val="24"/>
              </w:rPr>
              <w:t xml:space="preserve">ROBERT REEVES  </w:t>
            </w:r>
            <w:r w:rsidRPr="00FA1143">
              <w:rPr>
                <w:color w:val="365F91" w:themeColor="accent1" w:themeShade="BF"/>
                <w:w w:val="130"/>
                <w:sz w:val="20"/>
                <w:szCs w:val="20"/>
              </w:rPr>
              <w:t>MBHI</w:t>
            </w:r>
          </w:p>
          <w:p w:rsidR="002F3C21" w:rsidRDefault="002F3C21" w:rsidP="002F3C21">
            <w:pPr>
              <w:rPr>
                <w:lang w:val="en-US"/>
              </w:rPr>
            </w:pPr>
          </w:p>
          <w:p w:rsidR="00084D19" w:rsidRDefault="00084D19" w:rsidP="00084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2F3C21" w:rsidRPr="00084D19">
              <w:rPr>
                <w:rFonts w:ascii="Arial" w:hAnsi="Arial" w:cs="Arial"/>
              </w:rPr>
              <w:t>ndependent, qualified</w:t>
            </w:r>
            <w:r>
              <w:rPr>
                <w:rFonts w:ascii="Arial" w:hAnsi="Arial" w:cs="Arial"/>
              </w:rPr>
              <w:t xml:space="preserve">, </w:t>
            </w:r>
            <w:r w:rsidR="002F3C21" w:rsidRPr="00084D19">
              <w:rPr>
                <w:rFonts w:ascii="Arial" w:hAnsi="Arial" w:cs="Arial"/>
              </w:rPr>
              <w:t xml:space="preserve"> Rolex trained </w:t>
            </w:r>
          </w:p>
          <w:p w:rsidR="00084D19" w:rsidRDefault="002F3C21" w:rsidP="00084D19">
            <w:pPr>
              <w:jc w:val="center"/>
              <w:rPr>
                <w:rFonts w:ascii="Arial" w:hAnsi="Arial" w:cs="Arial"/>
              </w:rPr>
            </w:pPr>
            <w:r w:rsidRPr="00084D19">
              <w:rPr>
                <w:rFonts w:ascii="Arial" w:hAnsi="Arial" w:cs="Arial"/>
              </w:rPr>
              <w:t>watch repairer</w:t>
            </w:r>
            <w:r w:rsidR="00084D19">
              <w:rPr>
                <w:rFonts w:ascii="Arial" w:hAnsi="Arial" w:cs="Arial"/>
              </w:rPr>
              <w:t>.</w:t>
            </w:r>
            <w:r w:rsidR="00D7032F" w:rsidRPr="00084D19">
              <w:rPr>
                <w:rFonts w:ascii="Arial" w:hAnsi="Arial" w:cs="Arial"/>
              </w:rPr>
              <w:t xml:space="preserve"> </w:t>
            </w:r>
          </w:p>
          <w:p w:rsidR="00084D19" w:rsidRDefault="00084D19" w:rsidP="00084D19">
            <w:pPr>
              <w:jc w:val="center"/>
              <w:rPr>
                <w:rFonts w:ascii="Arial" w:hAnsi="Arial" w:cs="Arial"/>
              </w:rPr>
            </w:pPr>
          </w:p>
          <w:p w:rsidR="00E60CB6" w:rsidRPr="00084D19" w:rsidRDefault="00084D19" w:rsidP="00084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2F3C21" w:rsidRPr="00084D19">
              <w:rPr>
                <w:rFonts w:ascii="Arial" w:hAnsi="Arial" w:cs="Arial"/>
              </w:rPr>
              <w:t>pecialising in high class mechanical &amp; quartz watches including Rolex, Longines and Omega.</w:t>
            </w:r>
          </w:p>
          <w:p w:rsidR="00E60CB6" w:rsidRPr="002F3C21" w:rsidRDefault="00E60CB6">
            <w:pPr>
              <w:rPr>
                <w:rFonts w:ascii="Arial" w:hAnsi="Arial" w:cs="Arial"/>
              </w:rPr>
            </w:pPr>
          </w:p>
        </w:tc>
      </w:tr>
    </w:tbl>
    <w:p w:rsidR="00E60CB6" w:rsidRPr="002F3C21" w:rsidRDefault="00E60CB6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30"/>
      </w:tblGrid>
      <w:tr w:rsidR="00E60CB6" w:rsidRPr="002F3C21" w:rsidTr="00956E0F">
        <w:tc>
          <w:tcPr>
            <w:tcW w:w="7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60CB6" w:rsidRPr="00FA1143" w:rsidRDefault="00E60CB6" w:rsidP="00E60CB6">
            <w:pPr>
              <w:pStyle w:val="Heading1"/>
              <w:rPr>
                <w:color w:val="365F91" w:themeColor="accent1" w:themeShade="BF"/>
                <w:sz w:val="28"/>
                <w:szCs w:val="28"/>
              </w:rPr>
            </w:pPr>
            <w:r w:rsidRPr="00FA1143">
              <w:rPr>
                <w:color w:val="365F91" w:themeColor="accent1" w:themeShade="BF"/>
                <w:sz w:val="28"/>
                <w:szCs w:val="28"/>
              </w:rPr>
              <w:t>WATCH REPAIR SERVICE CENTRE</w:t>
            </w:r>
          </w:p>
          <w:p w:rsidR="002F3C21" w:rsidRPr="00FA1143" w:rsidRDefault="002F3C21" w:rsidP="002F3C21">
            <w:pPr>
              <w:rPr>
                <w:color w:val="365F91" w:themeColor="accent1" w:themeShade="BF"/>
                <w:lang w:val="en-US"/>
              </w:rPr>
            </w:pPr>
          </w:p>
          <w:p w:rsidR="002F3C21" w:rsidRPr="00FA1143" w:rsidRDefault="002F3C21" w:rsidP="002F3C21">
            <w:pPr>
              <w:jc w:val="center"/>
              <w:rPr>
                <w:rFonts w:ascii="Arial" w:hAnsi="Arial" w:cs="Arial"/>
                <w:color w:val="365F91" w:themeColor="accent1" w:themeShade="BF"/>
                <w:lang w:val="en-US"/>
              </w:rPr>
            </w:pPr>
            <w:r w:rsidRPr="00FA1143">
              <w:rPr>
                <w:rFonts w:ascii="Arial" w:hAnsi="Arial" w:cs="Arial"/>
                <w:color w:val="365F91" w:themeColor="accent1" w:themeShade="BF"/>
                <w:lang w:val="en-US"/>
              </w:rPr>
              <w:t xml:space="preserve">Rolex </w:t>
            </w:r>
            <w:r w:rsidR="00FA1143">
              <w:rPr>
                <w:rFonts w:ascii="Arial" w:hAnsi="Arial" w:cs="Arial"/>
                <w:color w:val="365F91" w:themeColor="accent1" w:themeShade="BF"/>
                <w:lang w:val="en-US"/>
              </w:rPr>
              <w:t>a</w:t>
            </w:r>
            <w:r w:rsidR="00FA1143" w:rsidRPr="00FA1143">
              <w:rPr>
                <w:rFonts w:ascii="Arial" w:hAnsi="Arial" w:cs="Arial"/>
                <w:color w:val="365F91" w:themeColor="accent1" w:themeShade="BF"/>
                <w:lang w:val="en-US"/>
              </w:rPr>
              <w:t xml:space="preserve">ccredited </w:t>
            </w:r>
            <w:r w:rsidRPr="00FA1143">
              <w:rPr>
                <w:rFonts w:ascii="Arial" w:hAnsi="Arial" w:cs="Arial"/>
                <w:color w:val="365F91" w:themeColor="accent1" w:themeShade="BF"/>
                <w:lang w:val="en-US"/>
              </w:rPr>
              <w:t xml:space="preserve">workshop </w:t>
            </w:r>
          </w:p>
          <w:p w:rsidR="00E60CB6" w:rsidRPr="00FA1143" w:rsidRDefault="005136B8" w:rsidP="00D7032F">
            <w:pPr>
              <w:pStyle w:val="Heading1"/>
              <w:rPr>
                <w:color w:val="365F91" w:themeColor="accent1" w:themeShade="BF"/>
                <w:sz w:val="20"/>
                <w:szCs w:val="20"/>
              </w:rPr>
            </w:pPr>
            <w:hyperlink r:id="rId9" w:history="1">
              <w:r w:rsidR="00E60CB6" w:rsidRPr="00FA1143">
                <w:rPr>
                  <w:rStyle w:val="Hyperlink"/>
                  <w:color w:val="365F91" w:themeColor="accent1" w:themeShade="BF"/>
                  <w:w w:val="130"/>
                  <w:sz w:val="24"/>
                  <w:szCs w:val="24"/>
                </w:rPr>
                <w:t>www.robertreeves.co.uk</w:t>
              </w:r>
            </w:hyperlink>
          </w:p>
          <w:p w:rsidR="00FA1143" w:rsidRDefault="00FA1143" w:rsidP="002F3C21">
            <w:pPr>
              <w:jc w:val="center"/>
              <w:rPr>
                <w:rFonts w:ascii="Arial" w:hAnsi="Arial" w:cs="Arial"/>
                <w:b/>
                <w:bCs/>
                <w:color w:val="365F91" w:themeColor="accent1" w:themeShade="BF"/>
              </w:rPr>
            </w:pPr>
          </w:p>
          <w:p w:rsidR="00E60CB6" w:rsidRPr="00084D19" w:rsidRDefault="00E60CB6" w:rsidP="00DB7A19">
            <w:pPr>
              <w:jc w:val="center"/>
              <w:rPr>
                <w:rFonts w:ascii="Arial" w:hAnsi="Arial" w:cs="Arial"/>
                <w:b/>
                <w:bCs/>
                <w:color w:val="003366"/>
              </w:rPr>
            </w:pPr>
            <w:r w:rsidRPr="00FA1143">
              <w:rPr>
                <w:rFonts w:ascii="Arial" w:hAnsi="Arial" w:cs="Arial"/>
                <w:b/>
                <w:bCs/>
                <w:color w:val="365F91" w:themeColor="accent1" w:themeShade="BF"/>
              </w:rPr>
              <w:t xml:space="preserve">Email: </w:t>
            </w:r>
            <w:r w:rsidR="00DB7A19">
              <w:rPr>
                <w:rFonts w:ascii="Arial" w:hAnsi="Arial" w:cs="Arial"/>
                <w:b/>
                <w:bCs/>
                <w:color w:val="365F91" w:themeColor="accent1" w:themeShade="BF"/>
              </w:rPr>
              <w:t>Robert@robertreeves.co.uk</w:t>
            </w:r>
          </w:p>
        </w:tc>
      </w:tr>
      <w:tr w:rsidR="002F3C21" w:rsidRPr="002F3C21" w:rsidTr="00956E0F">
        <w:tc>
          <w:tcPr>
            <w:tcW w:w="7430" w:type="dxa"/>
            <w:tcBorders>
              <w:top w:val="dotted" w:sz="4" w:space="0" w:color="auto"/>
            </w:tcBorders>
          </w:tcPr>
          <w:p w:rsidR="00D7032F" w:rsidRDefault="00D7032F" w:rsidP="002F3C21">
            <w:pPr>
              <w:pStyle w:val="Heading3"/>
              <w:spacing w:before="0" w:after="120"/>
              <w:ind w:firstLine="340"/>
              <w:rPr>
                <w:color w:val="003366"/>
              </w:rPr>
            </w:pPr>
          </w:p>
          <w:p w:rsidR="002F3C21" w:rsidRPr="00FA1143" w:rsidRDefault="002F3C21" w:rsidP="00FA1143">
            <w:pPr>
              <w:pStyle w:val="Heading3"/>
              <w:spacing w:before="0" w:after="120"/>
              <w:ind w:left="426" w:hanging="86"/>
              <w:rPr>
                <w:color w:val="002060"/>
              </w:rPr>
            </w:pPr>
            <w:r w:rsidRPr="00FA1143">
              <w:rPr>
                <w:color w:val="002060"/>
              </w:rPr>
              <w:t>SERVICES</w:t>
            </w:r>
          </w:p>
          <w:p w:rsidR="00D7032F" w:rsidRDefault="00D7032F" w:rsidP="00FA1143">
            <w:pPr>
              <w:pStyle w:val="mainText"/>
              <w:numPr>
                <w:ilvl w:val="0"/>
                <w:numId w:val="1"/>
              </w:numPr>
              <w:ind w:left="426" w:hanging="86"/>
            </w:pPr>
            <w:r>
              <w:t>Full watch service</w:t>
            </w:r>
          </w:p>
          <w:p w:rsidR="002F3C21" w:rsidRPr="002F3C21" w:rsidRDefault="002F3C21" w:rsidP="00FA1143">
            <w:pPr>
              <w:pStyle w:val="mainText"/>
              <w:numPr>
                <w:ilvl w:val="0"/>
                <w:numId w:val="1"/>
              </w:numPr>
              <w:ind w:left="426" w:hanging="86"/>
            </w:pPr>
            <w:r w:rsidRPr="002F3C21">
              <w:t>Ultrasonic cleaning</w:t>
            </w:r>
          </w:p>
          <w:p w:rsidR="002F3C21" w:rsidRPr="002F3C21" w:rsidRDefault="002F3C21" w:rsidP="00FA1143">
            <w:pPr>
              <w:pStyle w:val="mainText"/>
              <w:numPr>
                <w:ilvl w:val="0"/>
                <w:numId w:val="1"/>
              </w:numPr>
              <w:ind w:left="426" w:hanging="86"/>
            </w:pPr>
            <w:r w:rsidRPr="002F3C21">
              <w:t xml:space="preserve">Electronic Timing  </w:t>
            </w:r>
          </w:p>
          <w:p w:rsidR="002F3C21" w:rsidRPr="002F3C21" w:rsidRDefault="002F3C21" w:rsidP="00FA1143">
            <w:pPr>
              <w:pStyle w:val="mainText"/>
              <w:numPr>
                <w:ilvl w:val="0"/>
                <w:numId w:val="1"/>
              </w:numPr>
              <w:ind w:left="426" w:hanging="86"/>
            </w:pPr>
            <w:r w:rsidRPr="002F3C21">
              <w:t>Water pressure testing</w:t>
            </w:r>
          </w:p>
          <w:p w:rsidR="002F3C21" w:rsidRPr="002F3C21" w:rsidRDefault="002F3C21" w:rsidP="00FA1143">
            <w:pPr>
              <w:pStyle w:val="mainText"/>
              <w:numPr>
                <w:ilvl w:val="0"/>
                <w:numId w:val="1"/>
              </w:numPr>
              <w:ind w:left="426" w:hanging="86"/>
            </w:pPr>
            <w:r w:rsidRPr="002F3C21">
              <w:t>Dial restoration, Glass fitting</w:t>
            </w:r>
          </w:p>
          <w:p w:rsidR="002F3C21" w:rsidRDefault="002F3C21" w:rsidP="00FA1143">
            <w:pPr>
              <w:pStyle w:val="mainText"/>
              <w:numPr>
                <w:ilvl w:val="0"/>
                <w:numId w:val="1"/>
              </w:numPr>
              <w:ind w:left="426" w:hanging="86"/>
            </w:pPr>
            <w:r w:rsidRPr="002F3C21">
              <w:t xml:space="preserve">Case and bracelet refurbishment </w:t>
            </w:r>
          </w:p>
          <w:p w:rsidR="00D7032F" w:rsidRPr="002F3C21" w:rsidRDefault="00D7032F" w:rsidP="00FA1143">
            <w:pPr>
              <w:pStyle w:val="mainText"/>
              <w:numPr>
                <w:ilvl w:val="0"/>
                <w:numId w:val="1"/>
              </w:numPr>
              <w:ind w:left="426" w:hanging="86"/>
            </w:pPr>
            <w:r>
              <w:t>G</w:t>
            </w:r>
            <w:r w:rsidRPr="002F3C21">
              <w:t xml:space="preserve">enuine manufacturer’s parts </w:t>
            </w:r>
          </w:p>
          <w:p w:rsidR="00D7032F" w:rsidRDefault="00D7032F" w:rsidP="00FA1143">
            <w:pPr>
              <w:pStyle w:val="mainText"/>
              <w:numPr>
                <w:ilvl w:val="0"/>
                <w:numId w:val="1"/>
              </w:numPr>
              <w:ind w:left="426" w:hanging="86"/>
            </w:pPr>
            <w:r w:rsidRPr="002F3C21">
              <w:t>Detailed estimate, provided free for most watches</w:t>
            </w:r>
          </w:p>
          <w:p w:rsidR="00D7032F" w:rsidRDefault="00D7032F" w:rsidP="00FA1143">
            <w:pPr>
              <w:pStyle w:val="mainText"/>
              <w:numPr>
                <w:ilvl w:val="0"/>
                <w:numId w:val="1"/>
              </w:numPr>
              <w:ind w:left="426" w:hanging="86"/>
            </w:pPr>
            <w:r w:rsidRPr="002F3C21">
              <w:t>Replacement batteries including new seals</w:t>
            </w:r>
          </w:p>
          <w:p w:rsidR="00FA1143" w:rsidRPr="002F3C21" w:rsidRDefault="00D7032F" w:rsidP="002858DE">
            <w:pPr>
              <w:pStyle w:val="mainText"/>
              <w:numPr>
                <w:ilvl w:val="0"/>
                <w:numId w:val="1"/>
              </w:numPr>
              <w:ind w:left="426" w:hanging="86"/>
            </w:pPr>
            <w:r>
              <w:t>Direct con</w:t>
            </w:r>
            <w:r w:rsidR="002858DE">
              <w:t>sultation</w:t>
            </w:r>
            <w:r>
              <w:t xml:space="preserve"> with the watch repairer </w:t>
            </w:r>
          </w:p>
        </w:tc>
      </w:tr>
    </w:tbl>
    <w:p w:rsidR="00E60CB6" w:rsidRPr="002F3C21" w:rsidRDefault="00E60CB6">
      <w:pPr>
        <w:rPr>
          <w:rFonts w:ascii="Arial" w:hAnsi="Arial" w:cs="Arial"/>
        </w:rPr>
      </w:pPr>
    </w:p>
    <w:tbl>
      <w:tblPr>
        <w:tblW w:w="0" w:type="auto"/>
        <w:tblLook w:val="0000"/>
      </w:tblPr>
      <w:tblGrid>
        <w:gridCol w:w="2240"/>
        <w:gridCol w:w="2240"/>
        <w:gridCol w:w="2240"/>
      </w:tblGrid>
      <w:tr w:rsidR="00D7032F" w:rsidRPr="002F3C21" w:rsidTr="00D32923">
        <w:trPr>
          <w:trHeight w:val="1391"/>
        </w:trPr>
        <w:tc>
          <w:tcPr>
            <w:tcW w:w="6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032F" w:rsidRPr="002F3C21" w:rsidRDefault="00D7032F" w:rsidP="00D32923">
            <w:pPr>
              <w:pStyle w:val="Heading3"/>
              <w:spacing w:before="0" w:after="120"/>
              <w:ind w:firstLine="340"/>
              <w:rPr>
                <w:sz w:val="24"/>
                <w:szCs w:val="8"/>
              </w:rPr>
            </w:pPr>
            <w:r w:rsidRPr="002F3C21">
              <w:rPr>
                <w:color w:val="003366"/>
              </w:rPr>
              <w:lastRenderedPageBreak/>
              <w:t>GUARANTEE</w:t>
            </w:r>
          </w:p>
          <w:p w:rsidR="00D7032F" w:rsidRPr="002F3C21" w:rsidRDefault="00D7032F" w:rsidP="00D32923">
            <w:pPr>
              <w:pStyle w:val="mainText"/>
              <w:numPr>
                <w:ilvl w:val="0"/>
                <w:numId w:val="2"/>
              </w:numPr>
            </w:pPr>
            <w:r w:rsidRPr="002F3C21">
              <w:t>Workmanship is guaranteed for one year</w:t>
            </w:r>
          </w:p>
          <w:p w:rsidR="00D7032F" w:rsidRPr="002F3C21" w:rsidRDefault="00D7032F" w:rsidP="00D32923">
            <w:pPr>
              <w:pStyle w:val="mainText"/>
              <w:numPr>
                <w:ilvl w:val="0"/>
                <w:numId w:val="2"/>
              </w:numPr>
            </w:pPr>
            <w:r w:rsidRPr="002F3C21">
              <w:t>British Horological Institute Code of Practice</w:t>
            </w:r>
          </w:p>
        </w:tc>
      </w:tr>
      <w:tr w:rsidR="00D7032F" w:rsidRPr="002F3C21" w:rsidTr="00D32923">
        <w:tc>
          <w:tcPr>
            <w:tcW w:w="6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032F" w:rsidRPr="002F3C21" w:rsidRDefault="00D7032F" w:rsidP="00D32923">
            <w:pPr>
              <w:pStyle w:val="Heading3"/>
              <w:spacing w:before="0" w:after="120"/>
              <w:ind w:firstLine="340"/>
              <w:rPr>
                <w:sz w:val="24"/>
                <w:szCs w:val="8"/>
              </w:rPr>
            </w:pPr>
            <w:r w:rsidRPr="002F3C21">
              <w:rPr>
                <w:color w:val="003366"/>
              </w:rPr>
              <w:t>PAYMENT</w:t>
            </w:r>
          </w:p>
          <w:p w:rsidR="00D7032F" w:rsidRPr="002F3C21" w:rsidRDefault="00D7032F" w:rsidP="00D32923">
            <w:pPr>
              <w:pStyle w:val="mainText"/>
              <w:numPr>
                <w:ilvl w:val="0"/>
                <w:numId w:val="3"/>
              </w:numPr>
            </w:pPr>
            <w:r w:rsidRPr="002F3C21">
              <w:t>Cheque with cheque card</w:t>
            </w:r>
          </w:p>
          <w:p w:rsidR="00D7032F" w:rsidRPr="002F3C21" w:rsidRDefault="00D7032F" w:rsidP="00D32923">
            <w:pPr>
              <w:pStyle w:val="mainText"/>
              <w:numPr>
                <w:ilvl w:val="0"/>
                <w:numId w:val="3"/>
              </w:numPr>
            </w:pPr>
            <w:r w:rsidRPr="002F3C21">
              <w:t>All Major Credit Cards (Visa, MasterCard, etc)</w:t>
            </w:r>
          </w:p>
          <w:p w:rsidR="00D7032F" w:rsidRPr="002F3C21" w:rsidRDefault="00D7032F" w:rsidP="00D32923">
            <w:pPr>
              <w:pStyle w:val="mainText"/>
              <w:numPr>
                <w:ilvl w:val="0"/>
                <w:numId w:val="3"/>
              </w:numPr>
            </w:pPr>
            <w:r w:rsidRPr="002F3C21">
              <w:t>Cash on delivery</w:t>
            </w:r>
          </w:p>
          <w:p w:rsidR="00D7032F" w:rsidRPr="002F3C21" w:rsidRDefault="00D7032F" w:rsidP="00D7032F">
            <w:pPr>
              <w:pStyle w:val="mainText"/>
              <w:numPr>
                <w:ilvl w:val="0"/>
                <w:numId w:val="3"/>
              </w:numPr>
            </w:pPr>
            <w:r w:rsidRPr="002F3C21">
              <w:t>Deposits welcome</w:t>
            </w:r>
          </w:p>
        </w:tc>
      </w:tr>
      <w:tr w:rsidR="00D7032F" w:rsidRPr="002F3C21" w:rsidTr="00D32923">
        <w:trPr>
          <w:cantSplit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</w:tcMar>
          </w:tcPr>
          <w:p w:rsidR="00D7032F" w:rsidRPr="002F3C21" w:rsidRDefault="00D7032F" w:rsidP="00D32923">
            <w:pPr>
              <w:pStyle w:val="mainText"/>
              <w:jc w:val="center"/>
              <w:rPr>
                <w:sz w:val="20"/>
              </w:rPr>
            </w:pPr>
            <w:r w:rsidRPr="002F3C21">
              <w:rPr>
                <w:noProof/>
                <w:sz w:val="20"/>
              </w:rPr>
              <w:drawing>
                <wp:inline distT="0" distB="0" distL="0" distR="0">
                  <wp:extent cx="635000" cy="419100"/>
                  <wp:effectExtent l="19050" t="0" r="0" b="0"/>
                  <wp:docPr id="11" name="Picture 4" descr="vi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032F" w:rsidRPr="002F3C21" w:rsidRDefault="00D7032F" w:rsidP="00D7032F">
            <w:pPr>
              <w:pStyle w:val="mainText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</w:tcPr>
          <w:p w:rsidR="00D7032F" w:rsidRPr="002F3C21" w:rsidRDefault="00D7032F" w:rsidP="00D32923">
            <w:pPr>
              <w:pStyle w:val="mainText"/>
              <w:jc w:val="center"/>
              <w:rPr>
                <w:sz w:val="20"/>
              </w:rPr>
            </w:pPr>
            <w:r w:rsidRPr="002F3C21">
              <w:rPr>
                <w:noProof/>
                <w:sz w:val="20"/>
              </w:rPr>
              <w:drawing>
                <wp:inline distT="0" distB="0" distL="0" distR="0">
                  <wp:extent cx="635000" cy="431800"/>
                  <wp:effectExtent l="19050" t="0" r="0" b="0"/>
                  <wp:docPr id="12" name="Picture 5" descr="masterc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sterc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032F" w:rsidRPr="002F3C21" w:rsidRDefault="00D7032F" w:rsidP="00D32923">
            <w:pPr>
              <w:pStyle w:val="mainText"/>
              <w:jc w:val="center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</w:tcPr>
          <w:p w:rsidR="00D7032F" w:rsidRPr="002F3C21" w:rsidRDefault="00D7032F" w:rsidP="00D32923">
            <w:pPr>
              <w:pStyle w:val="mainText"/>
              <w:jc w:val="center"/>
              <w:rPr>
                <w:sz w:val="20"/>
              </w:rPr>
            </w:pPr>
            <w:r w:rsidRPr="002F3C21">
              <w:rPr>
                <w:noProof/>
                <w:sz w:val="20"/>
              </w:rPr>
              <w:drawing>
                <wp:inline distT="0" distB="0" distL="0" distR="0">
                  <wp:extent cx="787400" cy="469900"/>
                  <wp:effectExtent l="19050" t="0" r="0" b="0"/>
                  <wp:docPr id="13" name="Picture 6" descr="american ex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merican exp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032F" w:rsidRPr="002F3C21" w:rsidRDefault="00D7032F" w:rsidP="00D32923">
            <w:pPr>
              <w:pStyle w:val="mainText"/>
              <w:jc w:val="center"/>
              <w:rPr>
                <w:sz w:val="20"/>
              </w:rPr>
            </w:pPr>
          </w:p>
        </w:tc>
      </w:tr>
      <w:tr w:rsidR="00D7032F" w:rsidRPr="002F3C21" w:rsidTr="00D32923">
        <w:tc>
          <w:tcPr>
            <w:tcW w:w="67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</w:tcMar>
          </w:tcPr>
          <w:p w:rsidR="00D7032F" w:rsidRPr="002F3C21" w:rsidRDefault="00D7032F" w:rsidP="00D32923">
            <w:pPr>
              <w:pStyle w:val="mainText"/>
              <w:jc w:val="center"/>
            </w:pPr>
            <w:r w:rsidRPr="002F3C21">
              <w:t xml:space="preserve">Should an estimate not be accepted, </w:t>
            </w:r>
          </w:p>
          <w:p w:rsidR="00D7032F" w:rsidRPr="00D7032F" w:rsidRDefault="00D7032F" w:rsidP="00D7032F">
            <w:pPr>
              <w:pStyle w:val="mainText"/>
              <w:jc w:val="center"/>
            </w:pPr>
            <w:r w:rsidRPr="002F3C21">
              <w:t>a small charge is made for the work and time involved.</w:t>
            </w:r>
            <w:r w:rsidRPr="002F3C21">
              <w:rPr>
                <w:sz w:val="20"/>
              </w:rPr>
              <w:t xml:space="preserve"> </w:t>
            </w:r>
          </w:p>
        </w:tc>
      </w:tr>
    </w:tbl>
    <w:p w:rsidR="0065496B" w:rsidRPr="002F3C21" w:rsidRDefault="0065496B" w:rsidP="00D7032F">
      <w:pPr>
        <w:pStyle w:val="Heading3"/>
        <w:rPr>
          <w:color w:val="003366"/>
          <w:sz w:val="24"/>
        </w:rPr>
      </w:pPr>
      <w:r w:rsidRPr="002F3C21">
        <w:rPr>
          <w:color w:val="003366"/>
          <w:sz w:val="24"/>
        </w:rPr>
        <w:t>CONTACT DETAILS</w:t>
      </w:r>
    </w:p>
    <w:tbl>
      <w:tblPr>
        <w:tblW w:w="0" w:type="auto"/>
        <w:tblInd w:w="-34" w:type="dxa"/>
        <w:tblLook w:val="0000"/>
      </w:tblPr>
      <w:tblGrid>
        <w:gridCol w:w="1985"/>
        <w:gridCol w:w="4820"/>
      </w:tblGrid>
      <w:tr w:rsidR="0065496B" w:rsidRPr="002F3C21" w:rsidTr="00087F60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</w:tcMar>
          </w:tcPr>
          <w:p w:rsidR="0065496B" w:rsidRPr="002F3C21" w:rsidRDefault="0065496B" w:rsidP="00D7032F">
            <w:pPr>
              <w:pStyle w:val="infoText"/>
              <w:rPr>
                <w:b w:val="0"/>
                <w:bCs w:val="0"/>
                <w:i/>
                <w:iCs/>
              </w:rPr>
            </w:pPr>
            <w:r w:rsidRPr="002F3C21">
              <w:rPr>
                <w:b w:val="0"/>
                <w:bCs w:val="0"/>
                <w:i/>
                <w:iCs/>
              </w:rPr>
              <w:t>Local call rate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</w:tcMar>
          </w:tcPr>
          <w:p w:rsidR="0065496B" w:rsidRPr="002858DE" w:rsidRDefault="0065496B">
            <w:pPr>
              <w:pStyle w:val="infoText"/>
            </w:pPr>
            <w:r w:rsidRPr="002858DE">
              <w:t xml:space="preserve">0845 </w:t>
            </w:r>
            <w:r w:rsidR="00DC3BEA" w:rsidRPr="002858DE">
              <w:t>4</w:t>
            </w:r>
            <w:r w:rsidRPr="002858DE">
              <w:t>5</w:t>
            </w:r>
            <w:r w:rsidR="00DC3BEA" w:rsidRPr="002858DE">
              <w:t>90</w:t>
            </w:r>
            <w:r w:rsidRPr="002858DE">
              <w:t xml:space="preserve"> </w:t>
            </w:r>
            <w:r w:rsidR="00DC3BEA" w:rsidRPr="002858DE">
              <w:t>0</w:t>
            </w:r>
            <w:r w:rsidRPr="002858DE">
              <w:t>1</w:t>
            </w:r>
            <w:r w:rsidR="00DC3BEA" w:rsidRPr="002858DE">
              <w:t>47</w:t>
            </w:r>
          </w:p>
        </w:tc>
      </w:tr>
      <w:tr w:rsidR="0065496B" w:rsidRPr="002F3C21" w:rsidTr="00087F60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</w:tcMar>
          </w:tcPr>
          <w:p w:rsidR="0065496B" w:rsidRPr="002F3C21" w:rsidRDefault="0065496B" w:rsidP="00D7032F">
            <w:pPr>
              <w:pStyle w:val="infoText"/>
              <w:rPr>
                <w:b w:val="0"/>
                <w:bCs w:val="0"/>
                <w:i/>
                <w:iCs/>
              </w:rPr>
            </w:pPr>
            <w:r w:rsidRPr="002F3C21">
              <w:rPr>
                <w:b w:val="0"/>
                <w:bCs w:val="0"/>
                <w:i/>
                <w:iCs/>
              </w:rPr>
              <w:t>Local exchange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</w:tcMar>
          </w:tcPr>
          <w:p w:rsidR="0065496B" w:rsidRPr="002858DE" w:rsidRDefault="0065496B">
            <w:pPr>
              <w:pStyle w:val="infoText"/>
            </w:pPr>
            <w:r w:rsidRPr="002858DE">
              <w:t>01726 65287</w:t>
            </w:r>
          </w:p>
        </w:tc>
      </w:tr>
      <w:tr w:rsidR="0065496B" w:rsidRPr="002F3C21" w:rsidTr="00087F60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</w:tcMar>
          </w:tcPr>
          <w:p w:rsidR="0065496B" w:rsidRPr="002F3C21" w:rsidRDefault="0065496B" w:rsidP="00D7032F">
            <w:pPr>
              <w:pStyle w:val="infoText"/>
              <w:rPr>
                <w:b w:val="0"/>
                <w:bCs w:val="0"/>
                <w:i/>
                <w:iCs/>
              </w:rPr>
            </w:pPr>
            <w:r w:rsidRPr="002F3C21">
              <w:rPr>
                <w:b w:val="0"/>
                <w:bCs w:val="0"/>
                <w:i/>
                <w:iCs/>
              </w:rPr>
              <w:t>Postal address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</w:tcMar>
          </w:tcPr>
          <w:p w:rsidR="0065496B" w:rsidRPr="002858DE" w:rsidRDefault="0065496B">
            <w:pPr>
              <w:pStyle w:val="infoText"/>
            </w:pPr>
            <w:r w:rsidRPr="002858DE">
              <w:t>Pendule House</w:t>
            </w:r>
            <w:r w:rsidR="00087F60" w:rsidRPr="002858DE">
              <w:t xml:space="preserve">,  </w:t>
            </w:r>
            <w:r w:rsidRPr="002858DE">
              <w:t>14 St. Piran’s Close</w:t>
            </w:r>
          </w:p>
          <w:p w:rsidR="0065496B" w:rsidRPr="002858DE" w:rsidRDefault="0065496B" w:rsidP="00087F60">
            <w:pPr>
              <w:pStyle w:val="infoText"/>
            </w:pPr>
            <w:r w:rsidRPr="002858DE">
              <w:t>St Austell</w:t>
            </w:r>
            <w:r w:rsidR="00087F60" w:rsidRPr="002858DE">
              <w:t xml:space="preserve">, </w:t>
            </w:r>
            <w:r w:rsidRPr="002858DE">
              <w:t>Cornwall  PL25 3TF</w:t>
            </w:r>
            <w:r w:rsidR="00087F60" w:rsidRPr="002858DE">
              <w:t>.  UK</w:t>
            </w:r>
          </w:p>
        </w:tc>
      </w:tr>
    </w:tbl>
    <w:p w:rsidR="0065496B" w:rsidRDefault="0065496B">
      <w:pPr>
        <w:widowControl w:val="0"/>
        <w:rPr>
          <w:rFonts w:ascii="Arial" w:hAnsi="Arial" w:cs="Arial"/>
        </w:rPr>
      </w:pPr>
    </w:p>
    <w:p w:rsidR="00D7032F" w:rsidRPr="002F3C21" w:rsidRDefault="00D7032F" w:rsidP="00087F60">
      <w:pPr>
        <w:widowControl w:val="0"/>
        <w:ind w:left="567" w:right="-25" w:hanging="567"/>
        <w:rPr>
          <w:rFonts w:ascii="Arial" w:hAnsi="Arial" w:cs="Arial"/>
        </w:rPr>
      </w:pPr>
      <w:r w:rsidRPr="002F3C21">
        <w:rPr>
          <w:rFonts w:ascii="Arial" w:hAnsi="Arial" w:cs="Arial"/>
        </w:rPr>
        <w:t xml:space="preserve">You can contact us by: </w:t>
      </w:r>
    </w:p>
    <w:p w:rsidR="00D7032F" w:rsidRPr="002F3C21" w:rsidRDefault="00D7032F" w:rsidP="00087F60">
      <w:pPr>
        <w:widowControl w:val="0"/>
        <w:numPr>
          <w:ilvl w:val="0"/>
          <w:numId w:val="7"/>
        </w:numPr>
        <w:ind w:left="567" w:right="-25" w:hanging="567"/>
        <w:rPr>
          <w:rFonts w:ascii="Arial" w:hAnsi="Arial" w:cs="Arial"/>
        </w:rPr>
      </w:pPr>
      <w:r w:rsidRPr="002F3C21">
        <w:rPr>
          <w:rFonts w:ascii="Arial" w:hAnsi="Arial" w:cs="Arial"/>
        </w:rPr>
        <w:t xml:space="preserve">postal service using the Royal Mail with their special delivery insurance protection </w:t>
      </w:r>
    </w:p>
    <w:p w:rsidR="00D7032F" w:rsidRPr="002F3C21" w:rsidRDefault="00D7032F" w:rsidP="00087F60">
      <w:pPr>
        <w:widowControl w:val="0"/>
        <w:numPr>
          <w:ilvl w:val="0"/>
          <w:numId w:val="7"/>
        </w:numPr>
        <w:ind w:left="567" w:right="-25" w:hanging="567"/>
        <w:rPr>
          <w:rFonts w:ascii="Arial" w:hAnsi="Arial" w:cs="Arial"/>
          <w:b/>
          <w:bCs/>
        </w:rPr>
      </w:pPr>
      <w:r w:rsidRPr="002F3C21">
        <w:rPr>
          <w:rFonts w:ascii="Arial" w:hAnsi="Arial" w:cs="Arial"/>
          <w:b/>
          <w:bCs/>
        </w:rPr>
        <w:t>a personal visit by pre-arranged appointment.</w:t>
      </w:r>
    </w:p>
    <w:p w:rsidR="00D7032F" w:rsidRPr="002F3C21" w:rsidRDefault="00D7032F" w:rsidP="00087F60">
      <w:pPr>
        <w:widowControl w:val="0"/>
        <w:ind w:left="567" w:hanging="567"/>
        <w:rPr>
          <w:rFonts w:ascii="Arial" w:hAnsi="Arial" w:cs="Arial"/>
        </w:rPr>
      </w:pPr>
    </w:p>
    <w:tbl>
      <w:tblPr>
        <w:tblW w:w="0" w:type="auto"/>
        <w:tblInd w:w="250" w:type="dxa"/>
        <w:tblLook w:val="0000"/>
      </w:tblPr>
      <w:tblGrid>
        <w:gridCol w:w="2835"/>
        <w:gridCol w:w="567"/>
        <w:gridCol w:w="2669"/>
      </w:tblGrid>
      <w:tr w:rsidR="0065496B" w:rsidRPr="002F3C21" w:rsidTr="00087F60">
        <w:trPr>
          <w:trHeight w:val="139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65496B" w:rsidRPr="002F3C21" w:rsidRDefault="00E93DEA">
            <w:pPr>
              <w:jc w:val="center"/>
              <w:rPr>
                <w:rFonts w:ascii="Arial" w:hAnsi="Arial" w:cs="Arial"/>
              </w:rPr>
            </w:pPr>
            <w:r w:rsidRPr="002F3C21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>
                  <wp:extent cx="711200" cy="8890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88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3C21">
              <w:rPr>
                <w:rFonts w:ascii="Arial" w:hAnsi="Arial" w:cs="Arial"/>
                <w:noProof/>
                <w:lang w:eastAsia="en-GB"/>
              </w:rPr>
              <w:drawing>
                <wp:anchor distT="36576" distB="36576" distL="36576" distR="36576" simplePos="0" relativeHeight="251657728" behindDoc="0" locked="0" layoutInCell="1" allowOverlap="1">
                  <wp:simplePos x="0" y="0"/>
                  <wp:positionH relativeFrom="column">
                    <wp:posOffset>3825875</wp:posOffset>
                  </wp:positionH>
                  <wp:positionV relativeFrom="paragraph">
                    <wp:posOffset>6118225</wp:posOffset>
                  </wp:positionV>
                  <wp:extent cx="683895" cy="845820"/>
                  <wp:effectExtent l="19050" t="0" r="190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8458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2F3C21">
              <w:rPr>
                <w:rFonts w:ascii="Arial" w:hAnsi="Arial" w:cs="Arial"/>
                <w:noProof/>
                <w:lang w:eastAsia="en-GB"/>
              </w:rPr>
              <w:drawing>
                <wp:anchor distT="36576" distB="36576" distL="36576" distR="36576" simplePos="0" relativeHeight="251658752" behindDoc="0" locked="0" layoutInCell="1" allowOverlap="1">
                  <wp:simplePos x="0" y="0"/>
                  <wp:positionH relativeFrom="column">
                    <wp:posOffset>3825875</wp:posOffset>
                  </wp:positionH>
                  <wp:positionV relativeFrom="paragraph">
                    <wp:posOffset>6118225</wp:posOffset>
                  </wp:positionV>
                  <wp:extent cx="683895" cy="845820"/>
                  <wp:effectExtent l="19050" t="0" r="190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8458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2F3C21">
              <w:rPr>
                <w:rFonts w:ascii="Arial" w:hAnsi="Arial" w:cs="Arial"/>
                <w:noProof/>
                <w:lang w:eastAsia="en-GB"/>
              </w:rPr>
              <w:drawing>
                <wp:anchor distT="36576" distB="36576" distL="36576" distR="36576" simplePos="0" relativeHeight="251656704" behindDoc="0" locked="0" layoutInCell="1" allowOverlap="1">
                  <wp:simplePos x="0" y="0"/>
                  <wp:positionH relativeFrom="column">
                    <wp:posOffset>3825875</wp:posOffset>
                  </wp:positionH>
                  <wp:positionV relativeFrom="paragraph">
                    <wp:posOffset>6118225</wp:posOffset>
                  </wp:positionV>
                  <wp:extent cx="683895" cy="845820"/>
                  <wp:effectExtent l="19050" t="0" r="190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8458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5496B" w:rsidRPr="002F3C21" w:rsidRDefault="006549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65496B" w:rsidRPr="00087F60" w:rsidRDefault="00E93DEA">
            <w:pPr>
              <w:jc w:val="center"/>
              <w:rPr>
                <w:rFonts w:ascii="Arial" w:hAnsi="Arial" w:cs="Arial"/>
              </w:rPr>
            </w:pPr>
            <w:r w:rsidRPr="00087F60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>
                  <wp:extent cx="711200" cy="90170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96B" w:rsidRPr="002F3C21" w:rsidTr="00087F60">
        <w:trPr>
          <w:trHeight w:val="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65496B" w:rsidRPr="002F3C21" w:rsidRDefault="0065496B">
            <w:pPr>
              <w:jc w:val="center"/>
              <w:rPr>
                <w:rFonts w:ascii="Arial" w:hAnsi="Arial" w:cs="Arial"/>
              </w:rPr>
            </w:pPr>
            <w:r w:rsidRPr="002F3C21">
              <w:rPr>
                <w:rFonts w:ascii="Arial" w:hAnsi="Arial" w:cs="Arial"/>
                <w:sz w:val="16"/>
                <w:szCs w:val="16"/>
              </w:rPr>
              <w:t xml:space="preserve"> Qualified member of the British Horological Institute (BHI)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5496B" w:rsidRPr="002F3C21" w:rsidRDefault="006549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65496B" w:rsidRPr="002F3C21" w:rsidRDefault="0065496B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F3C21">
              <w:rPr>
                <w:rFonts w:ascii="Arial" w:hAnsi="Arial" w:cs="Arial"/>
                <w:sz w:val="16"/>
                <w:szCs w:val="16"/>
              </w:rPr>
              <w:t>Member of the British Watch and Clockmakers Guild</w:t>
            </w:r>
          </w:p>
        </w:tc>
      </w:tr>
    </w:tbl>
    <w:p w:rsidR="002858DE" w:rsidRPr="002858DE" w:rsidRDefault="002858DE" w:rsidP="002858DE">
      <w:pPr>
        <w:pStyle w:val="Heading3"/>
        <w:spacing w:before="60"/>
        <w:jc w:val="center"/>
        <w:rPr>
          <w:i/>
          <w:color w:val="003366"/>
        </w:rPr>
      </w:pPr>
      <w:r w:rsidRPr="002858DE">
        <w:rPr>
          <w:i/>
          <w:color w:val="003366"/>
        </w:rPr>
        <w:lastRenderedPageBreak/>
        <w:t>‘Timeless craftsmanship with today’s technology’</w:t>
      </w:r>
    </w:p>
    <w:p w:rsidR="002858DE" w:rsidRPr="002858DE" w:rsidRDefault="002858DE" w:rsidP="002858DE">
      <w:pPr>
        <w:rPr>
          <w:lang w:val="en-US"/>
        </w:rPr>
      </w:pPr>
    </w:p>
    <w:p w:rsidR="0065496B" w:rsidRPr="002F3C21" w:rsidRDefault="0065496B">
      <w:pPr>
        <w:pStyle w:val="Heading3"/>
        <w:spacing w:before="60"/>
        <w:rPr>
          <w:szCs w:val="8"/>
        </w:rPr>
      </w:pPr>
      <w:r w:rsidRPr="002F3C21">
        <w:rPr>
          <w:color w:val="003366"/>
        </w:rPr>
        <w:t>RESUME</w:t>
      </w:r>
    </w:p>
    <w:p w:rsidR="0065496B" w:rsidRPr="002858DE" w:rsidRDefault="0065496B" w:rsidP="00CC6D6E">
      <w:pPr>
        <w:pStyle w:val="mainText"/>
        <w:spacing w:before="60" w:after="60"/>
        <w:rPr>
          <w:sz w:val="22"/>
          <w:szCs w:val="22"/>
        </w:rPr>
      </w:pPr>
      <w:r w:rsidRPr="002858DE">
        <w:rPr>
          <w:sz w:val="22"/>
          <w:szCs w:val="22"/>
        </w:rPr>
        <w:t>As a Rolex trained watch repairer, Robert offers the full range of services and repair of the</w:t>
      </w:r>
      <w:r w:rsidR="00CC6D6E" w:rsidRPr="002858DE">
        <w:rPr>
          <w:sz w:val="22"/>
          <w:szCs w:val="22"/>
        </w:rPr>
        <w:t>se</w:t>
      </w:r>
      <w:r w:rsidRPr="002858DE">
        <w:rPr>
          <w:sz w:val="22"/>
          <w:szCs w:val="22"/>
        </w:rPr>
        <w:t xml:space="preserve"> watches</w:t>
      </w:r>
      <w:r w:rsidR="00CC6D6E" w:rsidRPr="002858DE">
        <w:rPr>
          <w:sz w:val="22"/>
          <w:szCs w:val="22"/>
        </w:rPr>
        <w:t>,</w:t>
      </w:r>
      <w:r w:rsidRPr="002858DE">
        <w:rPr>
          <w:sz w:val="22"/>
          <w:szCs w:val="22"/>
        </w:rPr>
        <w:t xml:space="preserve"> with supply of genuine spare parts direct from Rolex. He sources genuine replacement parts for other </w:t>
      </w:r>
      <w:r w:rsidR="00CC6D6E" w:rsidRPr="002858DE">
        <w:rPr>
          <w:sz w:val="22"/>
          <w:szCs w:val="22"/>
        </w:rPr>
        <w:t xml:space="preserve">brands (e.g. Omega, Longines, Tissot </w:t>
      </w:r>
      <w:r w:rsidRPr="002858DE">
        <w:rPr>
          <w:sz w:val="22"/>
          <w:szCs w:val="22"/>
        </w:rPr>
        <w:t>) from reputable suppliers.</w:t>
      </w:r>
    </w:p>
    <w:p w:rsidR="0065496B" w:rsidRPr="002858DE" w:rsidRDefault="0065496B">
      <w:pPr>
        <w:pStyle w:val="mainText"/>
        <w:spacing w:before="60" w:after="60"/>
        <w:rPr>
          <w:sz w:val="22"/>
          <w:szCs w:val="22"/>
        </w:rPr>
      </w:pPr>
      <w:r w:rsidRPr="002858DE">
        <w:rPr>
          <w:sz w:val="22"/>
          <w:szCs w:val="22"/>
        </w:rPr>
        <w:t>Robert has owned his watch servicing business since 1975. His professional qualification was achieved by practical examination in 1977:  MBHI Member of the British Horological Institute.</w:t>
      </w:r>
    </w:p>
    <w:p w:rsidR="0065496B" w:rsidRPr="002858DE" w:rsidRDefault="0065496B">
      <w:pPr>
        <w:pStyle w:val="mainText"/>
        <w:spacing w:before="60" w:after="60"/>
        <w:rPr>
          <w:sz w:val="22"/>
          <w:szCs w:val="22"/>
        </w:rPr>
      </w:pPr>
      <w:r w:rsidRPr="002858DE">
        <w:rPr>
          <w:sz w:val="22"/>
          <w:szCs w:val="22"/>
        </w:rPr>
        <w:t xml:space="preserve">Further professional development has included Omega Watch Company London, ETA Watch Factory in Switzerland, Rolex Watch Company UK &amp; British Horological Institute Education Trust.  </w:t>
      </w:r>
    </w:p>
    <w:p w:rsidR="0065496B" w:rsidRPr="002858DE" w:rsidRDefault="0065496B" w:rsidP="00CC6D6E">
      <w:pPr>
        <w:pStyle w:val="mainText"/>
        <w:spacing w:before="60" w:after="60"/>
        <w:rPr>
          <w:sz w:val="22"/>
          <w:szCs w:val="22"/>
        </w:rPr>
      </w:pPr>
      <w:r w:rsidRPr="002858DE">
        <w:rPr>
          <w:sz w:val="22"/>
          <w:szCs w:val="22"/>
        </w:rPr>
        <w:t>Robert is an active member of the South West branch of the BHI</w:t>
      </w:r>
      <w:r w:rsidR="00CC6D6E" w:rsidRPr="002858DE">
        <w:rPr>
          <w:sz w:val="22"/>
          <w:szCs w:val="22"/>
        </w:rPr>
        <w:t xml:space="preserve">.  He is involved in education, mentoring and examination marking. </w:t>
      </w:r>
    </w:p>
    <w:p w:rsidR="0065496B" w:rsidRPr="002F3C21" w:rsidRDefault="0065496B">
      <w:pPr>
        <w:pStyle w:val="Heading3"/>
        <w:rPr>
          <w:color w:val="003366"/>
        </w:rPr>
      </w:pPr>
      <w:r w:rsidRPr="002F3C21">
        <w:rPr>
          <w:color w:val="003366"/>
        </w:rPr>
        <w:t>MAP AND DIRECTIONS</w:t>
      </w:r>
    </w:p>
    <w:p w:rsidR="0065496B" w:rsidRPr="002F3C21" w:rsidRDefault="0065496B">
      <w:pPr>
        <w:widowControl w:val="0"/>
        <w:rPr>
          <w:rFonts w:ascii="Arial" w:hAnsi="Arial" w:cs="Arial"/>
        </w:rPr>
      </w:pPr>
    </w:p>
    <w:p w:rsidR="0065496B" w:rsidRPr="002F3C21" w:rsidRDefault="0065496B">
      <w:pPr>
        <w:pStyle w:val="mainText"/>
      </w:pPr>
      <w:r w:rsidRPr="002F3C21">
        <w:rPr>
          <w:b/>
          <w:bCs/>
          <w:color w:val="003366"/>
        </w:rPr>
        <w:t xml:space="preserve">From </w:t>
      </w:r>
      <w:smartTag w:uri="urn:schemas-microsoft-com:office:smarttags" w:element="City">
        <w:smartTag w:uri="urn:schemas-microsoft-com:office:smarttags" w:element="place">
          <w:r w:rsidRPr="002F3C21">
            <w:rPr>
              <w:b/>
              <w:bCs/>
              <w:color w:val="003366"/>
            </w:rPr>
            <w:t>Plymouth</w:t>
          </w:r>
        </w:smartTag>
      </w:smartTag>
      <w:r w:rsidRPr="002F3C21">
        <w:rPr>
          <w:color w:val="003366"/>
        </w:rPr>
        <w:t>:</w:t>
      </w:r>
      <w:r w:rsidRPr="002F3C21">
        <w:tab/>
        <w:t>Approach St Austell on A390, turn right onto A391.  At 3rd roundabout turn left to Carclaze.</w:t>
      </w:r>
    </w:p>
    <w:p w:rsidR="0065496B" w:rsidRPr="002F3C21" w:rsidRDefault="0065496B">
      <w:pPr>
        <w:pStyle w:val="mainText"/>
      </w:pPr>
    </w:p>
    <w:p w:rsidR="0065496B" w:rsidRPr="002F3C21" w:rsidRDefault="0065496B">
      <w:pPr>
        <w:pStyle w:val="mainText"/>
      </w:pPr>
      <w:r w:rsidRPr="002F3C21">
        <w:rPr>
          <w:b/>
          <w:bCs/>
          <w:color w:val="003366"/>
        </w:rPr>
        <w:t xml:space="preserve">From </w:t>
      </w:r>
      <w:smartTag w:uri="urn:schemas-microsoft-com:office:smarttags" w:element="City">
        <w:smartTag w:uri="urn:schemas-microsoft-com:office:smarttags" w:element="place">
          <w:r w:rsidRPr="002F3C21">
            <w:rPr>
              <w:b/>
              <w:bCs/>
              <w:color w:val="003366"/>
            </w:rPr>
            <w:t>Truro</w:t>
          </w:r>
        </w:smartTag>
      </w:smartTag>
      <w:r w:rsidRPr="002F3C21">
        <w:rPr>
          <w:color w:val="003366"/>
        </w:rPr>
        <w:t>:</w:t>
      </w:r>
      <w:r w:rsidRPr="002F3C21">
        <w:tab/>
      </w:r>
      <w:r w:rsidRPr="002F3C21">
        <w:tab/>
        <w:t>Approach St Austell on A390, ignore signs to town centre.  Continue for 2 miles. Turn left onto A391.  At 3rd roundabout turn left to Carclaze.</w:t>
      </w:r>
    </w:p>
    <w:p w:rsidR="0065496B" w:rsidRPr="002F3C21" w:rsidRDefault="0065496B">
      <w:pPr>
        <w:pStyle w:val="mainText"/>
      </w:pPr>
    </w:p>
    <w:p w:rsidR="0065496B" w:rsidRPr="002F3C21" w:rsidRDefault="0065496B" w:rsidP="00CC6D6E">
      <w:pPr>
        <w:pStyle w:val="mainText"/>
      </w:pPr>
      <w:r w:rsidRPr="002F3C21">
        <w:rPr>
          <w:b/>
          <w:bCs/>
          <w:color w:val="003366"/>
        </w:rPr>
        <w:t>From the North:</w:t>
      </w:r>
      <w:r w:rsidRPr="002F3C21">
        <w:rPr>
          <w:b/>
          <w:bCs/>
        </w:rPr>
        <w:tab/>
      </w:r>
      <w:r w:rsidRPr="002F3C21">
        <w:t xml:space="preserve">A30 to end of Bodmin Bypass, turn left, follow  A390, through Bugle &amp;  Stenalees to St Austell.  Straight across at </w:t>
      </w:r>
      <w:smartTag w:uri="urn:schemas-microsoft-com:office:smarttags" w:element="City">
        <w:smartTag w:uri="urn:schemas-microsoft-com:office:smarttags" w:element="place">
          <w:r w:rsidRPr="002F3C21">
            <w:t>Eden</w:t>
          </w:r>
        </w:smartTag>
      </w:smartTag>
      <w:r w:rsidR="00CC6D6E" w:rsidRPr="002F3C21">
        <w:t xml:space="preserve"> roundabout on A391</w:t>
      </w:r>
      <w:r w:rsidRPr="002F3C21">
        <w:t>. Turn right at 2nd roundabout to Carclaze.</w:t>
      </w:r>
    </w:p>
    <w:p w:rsidR="0065496B" w:rsidRPr="002F3C21" w:rsidRDefault="0065496B">
      <w:pPr>
        <w:pStyle w:val="mainText"/>
      </w:pPr>
    </w:p>
    <w:p w:rsidR="0065496B" w:rsidRPr="002F3C21" w:rsidRDefault="0065496B">
      <w:pPr>
        <w:pStyle w:val="mainText"/>
        <w:rPr>
          <w:b/>
          <w:bCs/>
          <w:color w:val="003366"/>
        </w:rPr>
      </w:pPr>
      <w:r w:rsidRPr="002F3C21">
        <w:rPr>
          <w:b/>
          <w:bCs/>
          <w:color w:val="003366"/>
        </w:rPr>
        <w:t>Carclaze</w:t>
      </w:r>
      <w:r w:rsidR="00703862">
        <w:rPr>
          <w:b/>
          <w:bCs/>
          <w:color w:val="003366"/>
        </w:rPr>
        <w:t xml:space="preserve"> (A391 roundabout)</w:t>
      </w:r>
      <w:r w:rsidRPr="002F3C21">
        <w:rPr>
          <w:b/>
          <w:bCs/>
          <w:color w:val="003366"/>
        </w:rPr>
        <w:t xml:space="preserve"> to Robert Reeves:</w:t>
      </w:r>
    </w:p>
    <w:p w:rsidR="0065496B" w:rsidRPr="002F3C21" w:rsidRDefault="0065496B">
      <w:pPr>
        <w:rPr>
          <w:rFonts w:ascii="Arial" w:hAnsi="Arial" w:cs="Arial"/>
        </w:rPr>
      </w:pPr>
      <w:r w:rsidRPr="002F3C21">
        <w:rPr>
          <w:rFonts w:ascii="Arial" w:hAnsi="Arial" w:cs="Arial"/>
        </w:rPr>
        <w:t xml:space="preserve">Proceed down steep hill (bungalows on left, houses &amp; tall chimney on right) to mini roundabout.  Turn left into </w:t>
      </w:r>
      <w:smartTag w:uri="urn:schemas-microsoft-com:office:smarttags" w:element="Street">
        <w:smartTag w:uri="urn:schemas-microsoft-com:office:smarttags" w:element="address">
          <w:r w:rsidRPr="002F3C21">
            <w:rPr>
              <w:rFonts w:ascii="Arial" w:hAnsi="Arial" w:cs="Arial"/>
            </w:rPr>
            <w:t>Phernyssick Road</w:t>
          </w:r>
        </w:smartTag>
      </w:smartTag>
      <w:r w:rsidRPr="002F3C21">
        <w:rPr>
          <w:rFonts w:ascii="Arial" w:hAnsi="Arial" w:cs="Arial"/>
        </w:rPr>
        <w:t>.  Turn right into St Piran’s Close.  Turn right into cul-de-sac.  No 14 is 5th house and straight ahead.  Parking is available on the drive.</w:t>
      </w:r>
    </w:p>
    <w:sectPr w:rsidR="0065496B" w:rsidRPr="002F3C21" w:rsidSect="00FA1143">
      <w:pgSz w:w="16838" w:h="11906" w:orient="landscape" w:code="9"/>
      <w:pgMar w:top="851" w:right="851" w:bottom="709" w:left="851" w:header="709" w:footer="149" w:gutter="0"/>
      <w:cols w:num="2" w:space="708" w:equalWidth="0">
        <w:col w:w="7214" w:space="708"/>
        <w:col w:w="7214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CEF" w:rsidRDefault="00953CEF" w:rsidP="00E60CB6">
      <w:r>
        <w:separator/>
      </w:r>
    </w:p>
  </w:endnote>
  <w:endnote w:type="continuationSeparator" w:id="0">
    <w:p w:rsidR="00953CEF" w:rsidRDefault="00953CEF" w:rsidP="00E60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CEF" w:rsidRDefault="00953CEF" w:rsidP="00E60CB6">
      <w:r>
        <w:separator/>
      </w:r>
    </w:p>
  </w:footnote>
  <w:footnote w:type="continuationSeparator" w:id="0">
    <w:p w:rsidR="00953CEF" w:rsidRDefault="00953CEF" w:rsidP="00E60C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B4C7F"/>
    <w:multiLevelType w:val="hybridMultilevel"/>
    <w:tmpl w:val="CABAE33E"/>
    <w:lvl w:ilvl="0" w:tplc="5F0E25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288775EF"/>
    <w:multiLevelType w:val="hybridMultilevel"/>
    <w:tmpl w:val="22649E04"/>
    <w:lvl w:ilvl="0" w:tplc="5F0E25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4DFF7E6B"/>
    <w:multiLevelType w:val="hybridMultilevel"/>
    <w:tmpl w:val="2D78CD1A"/>
    <w:lvl w:ilvl="0" w:tplc="700E34F4">
      <w:start w:val="1"/>
      <w:numFmt w:val="bullet"/>
      <w:lvlText w:val=""/>
      <w:lvlJc w:val="left"/>
      <w:pPr>
        <w:tabs>
          <w:tab w:val="num" w:pos="1119"/>
        </w:tabs>
        <w:ind w:left="11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39"/>
        </w:tabs>
        <w:ind w:left="18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59"/>
        </w:tabs>
        <w:ind w:left="25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79"/>
        </w:tabs>
        <w:ind w:left="32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99"/>
        </w:tabs>
        <w:ind w:left="39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19"/>
        </w:tabs>
        <w:ind w:left="47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39"/>
        </w:tabs>
        <w:ind w:left="54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59"/>
        </w:tabs>
        <w:ind w:left="61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79"/>
        </w:tabs>
        <w:ind w:left="6879" w:hanging="360"/>
      </w:pPr>
      <w:rPr>
        <w:rFonts w:ascii="Wingdings" w:hAnsi="Wingdings" w:hint="default"/>
      </w:rPr>
    </w:lvl>
  </w:abstractNum>
  <w:abstractNum w:abstractNumId="3">
    <w:nsid w:val="55C82460"/>
    <w:multiLevelType w:val="hybridMultilevel"/>
    <w:tmpl w:val="4524E904"/>
    <w:lvl w:ilvl="0" w:tplc="5F0E25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5C544A70"/>
    <w:multiLevelType w:val="hybridMultilevel"/>
    <w:tmpl w:val="E06E8A64"/>
    <w:lvl w:ilvl="0" w:tplc="700E34F4">
      <w:start w:val="1"/>
      <w:numFmt w:val="bullet"/>
      <w:lvlText w:val=""/>
      <w:lvlJc w:val="left"/>
      <w:pPr>
        <w:tabs>
          <w:tab w:val="num" w:pos="1119"/>
        </w:tabs>
        <w:ind w:left="11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39"/>
        </w:tabs>
        <w:ind w:left="18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59"/>
        </w:tabs>
        <w:ind w:left="25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79"/>
        </w:tabs>
        <w:ind w:left="32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99"/>
        </w:tabs>
        <w:ind w:left="39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19"/>
        </w:tabs>
        <w:ind w:left="47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39"/>
        </w:tabs>
        <w:ind w:left="54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59"/>
        </w:tabs>
        <w:ind w:left="61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79"/>
        </w:tabs>
        <w:ind w:left="6879" w:hanging="360"/>
      </w:pPr>
      <w:rPr>
        <w:rFonts w:ascii="Wingdings" w:hAnsi="Wingdings" w:hint="default"/>
      </w:rPr>
    </w:lvl>
  </w:abstractNum>
  <w:abstractNum w:abstractNumId="5">
    <w:nsid w:val="6E5744BC"/>
    <w:multiLevelType w:val="hybridMultilevel"/>
    <w:tmpl w:val="2E388F22"/>
    <w:lvl w:ilvl="0" w:tplc="700E34F4">
      <w:start w:val="1"/>
      <w:numFmt w:val="bullet"/>
      <w:lvlText w:val=""/>
      <w:lvlJc w:val="left"/>
      <w:pPr>
        <w:tabs>
          <w:tab w:val="num" w:pos="1119"/>
        </w:tabs>
        <w:ind w:left="11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39"/>
        </w:tabs>
        <w:ind w:left="18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59"/>
        </w:tabs>
        <w:ind w:left="25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79"/>
        </w:tabs>
        <w:ind w:left="32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99"/>
        </w:tabs>
        <w:ind w:left="39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19"/>
        </w:tabs>
        <w:ind w:left="47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39"/>
        </w:tabs>
        <w:ind w:left="54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59"/>
        </w:tabs>
        <w:ind w:left="61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79"/>
        </w:tabs>
        <w:ind w:left="6879" w:hanging="360"/>
      </w:pPr>
      <w:rPr>
        <w:rFonts w:ascii="Wingdings" w:hAnsi="Wingdings" w:hint="default"/>
      </w:rPr>
    </w:lvl>
  </w:abstractNum>
  <w:abstractNum w:abstractNumId="6">
    <w:nsid w:val="7A416D8E"/>
    <w:multiLevelType w:val="hybridMultilevel"/>
    <w:tmpl w:val="49F6D68A"/>
    <w:lvl w:ilvl="0" w:tplc="700E34F4">
      <w:start w:val="1"/>
      <w:numFmt w:val="bullet"/>
      <w:lvlText w:val=""/>
      <w:lvlJc w:val="left"/>
      <w:pPr>
        <w:tabs>
          <w:tab w:val="num" w:pos="1119"/>
        </w:tabs>
        <w:ind w:left="11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39"/>
        </w:tabs>
        <w:ind w:left="18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59"/>
        </w:tabs>
        <w:ind w:left="25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79"/>
        </w:tabs>
        <w:ind w:left="32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99"/>
        </w:tabs>
        <w:ind w:left="39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19"/>
        </w:tabs>
        <w:ind w:left="47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39"/>
        </w:tabs>
        <w:ind w:left="54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59"/>
        </w:tabs>
        <w:ind w:left="61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79"/>
        </w:tabs>
        <w:ind w:left="687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3BEA"/>
    <w:rsid w:val="00017A0D"/>
    <w:rsid w:val="00056733"/>
    <w:rsid w:val="00084D19"/>
    <w:rsid w:val="00087F60"/>
    <w:rsid w:val="001D1233"/>
    <w:rsid w:val="002858DE"/>
    <w:rsid w:val="002F3C21"/>
    <w:rsid w:val="003B1032"/>
    <w:rsid w:val="005136B8"/>
    <w:rsid w:val="00532A5F"/>
    <w:rsid w:val="0065496B"/>
    <w:rsid w:val="00703862"/>
    <w:rsid w:val="00712B11"/>
    <w:rsid w:val="0073454C"/>
    <w:rsid w:val="00760109"/>
    <w:rsid w:val="007C646F"/>
    <w:rsid w:val="007D00D4"/>
    <w:rsid w:val="00952EF5"/>
    <w:rsid w:val="00953CEF"/>
    <w:rsid w:val="00956E0F"/>
    <w:rsid w:val="00C36CE3"/>
    <w:rsid w:val="00C906CC"/>
    <w:rsid w:val="00CC5176"/>
    <w:rsid w:val="00CC6D6E"/>
    <w:rsid w:val="00CF294F"/>
    <w:rsid w:val="00D25503"/>
    <w:rsid w:val="00D7032F"/>
    <w:rsid w:val="00DB7A19"/>
    <w:rsid w:val="00DC3BEA"/>
    <w:rsid w:val="00E60CB6"/>
    <w:rsid w:val="00E6240E"/>
    <w:rsid w:val="00E93DEA"/>
    <w:rsid w:val="00FA1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6C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906CC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C906CC"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C906C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906CC"/>
    <w:rPr>
      <w:color w:val="0000FF"/>
      <w:u w:val="single"/>
    </w:rPr>
  </w:style>
  <w:style w:type="paragraph" w:customStyle="1" w:styleId="mainTextIntro">
    <w:name w:val="mainTextIntro"/>
    <w:basedOn w:val="Normal"/>
    <w:rsid w:val="00C906CC"/>
    <w:pPr>
      <w:widowControl w:val="0"/>
      <w:jc w:val="both"/>
    </w:pPr>
    <w:rPr>
      <w:rFonts w:ascii="Arial" w:hAnsi="Arial" w:cs="Arial"/>
      <w:color w:val="000000"/>
      <w:kern w:val="28"/>
      <w:sz w:val="28"/>
      <w:szCs w:val="28"/>
      <w:lang w:eastAsia="en-GB"/>
    </w:rPr>
  </w:style>
  <w:style w:type="paragraph" w:customStyle="1" w:styleId="infoText">
    <w:name w:val="infoText"/>
    <w:basedOn w:val="Normal"/>
    <w:rsid w:val="00C906CC"/>
    <w:rPr>
      <w:rFonts w:ascii="Arial" w:hAnsi="Arial" w:cs="Arial"/>
      <w:b/>
      <w:bCs/>
      <w:color w:val="000000"/>
      <w:kern w:val="28"/>
      <w:lang w:eastAsia="en-GB"/>
    </w:rPr>
  </w:style>
  <w:style w:type="paragraph" w:customStyle="1" w:styleId="mainText">
    <w:name w:val="mainText"/>
    <w:basedOn w:val="Normal"/>
    <w:rsid w:val="00C906CC"/>
    <w:pPr>
      <w:widowControl w:val="0"/>
      <w:jc w:val="both"/>
    </w:pPr>
    <w:rPr>
      <w:rFonts w:ascii="Arial" w:hAnsi="Arial" w:cs="Arial"/>
      <w:color w:val="000000"/>
      <w:kern w:val="28"/>
      <w:lang w:eastAsia="en-GB"/>
    </w:rPr>
  </w:style>
  <w:style w:type="paragraph" w:customStyle="1" w:styleId="Quotation">
    <w:name w:val="Quotation"/>
    <w:basedOn w:val="Normal"/>
    <w:rsid w:val="00C906CC"/>
    <w:pPr>
      <w:jc w:val="center"/>
    </w:pPr>
    <w:rPr>
      <w:i/>
      <w:iCs/>
      <w:color w:val="000000"/>
      <w:sz w:val="28"/>
      <w:szCs w:val="28"/>
    </w:rPr>
  </w:style>
  <w:style w:type="character" w:styleId="FollowedHyperlink">
    <w:name w:val="FollowedHyperlink"/>
    <w:basedOn w:val="DefaultParagraphFont"/>
    <w:rsid w:val="00C906CC"/>
    <w:rPr>
      <w:color w:val="800080"/>
      <w:u w:val="single"/>
    </w:rPr>
  </w:style>
  <w:style w:type="paragraph" w:styleId="BalloonText">
    <w:name w:val="Balloon Text"/>
    <w:basedOn w:val="Normal"/>
    <w:semiHidden/>
    <w:rsid w:val="00952E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60C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0CB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60C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CB6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60C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0CB6"/>
    <w:rPr>
      <w:rFonts w:ascii="Arial" w:hAnsi="Arial" w:cs="Arial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robertreeves.co.uk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REEVES  MBHI</vt:lpstr>
    </vt:vector>
  </TitlesOfParts>
  <Company>Robert Reeves</Company>
  <LinksUpToDate>false</LinksUpToDate>
  <CharactersWithSpaces>3047</CharactersWithSpaces>
  <SharedDoc>false</SharedDoc>
  <HLinks>
    <vt:vector size="6" baseType="variant">
      <vt:variant>
        <vt:i4>2097256</vt:i4>
      </vt:variant>
      <vt:variant>
        <vt:i4>0</vt:i4>
      </vt:variant>
      <vt:variant>
        <vt:i4>0</vt:i4>
      </vt:variant>
      <vt:variant>
        <vt:i4>5</vt:i4>
      </vt:variant>
      <vt:variant>
        <vt:lpwstr>http://www.robertreeves.co.uk/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REEVES  MBHI</dc:title>
  <dc:creator>Robert Reeves</dc:creator>
  <cp:lastModifiedBy>Trevor Reeves</cp:lastModifiedBy>
  <cp:revision>9</cp:revision>
  <cp:lastPrinted>2009-01-31T10:57:00Z</cp:lastPrinted>
  <dcterms:created xsi:type="dcterms:W3CDTF">2009-03-07T16:46:00Z</dcterms:created>
  <dcterms:modified xsi:type="dcterms:W3CDTF">2009-12-08T18:20:00Z</dcterms:modified>
</cp:coreProperties>
</file>