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9"/>
        <w:pBdr/>
        <w:spacing/>
        <w:ind/>
        <w:rPr/>
      </w:pPr>
      <w:r>
        <w:t xml:space="preserve">Campaign Manager — System Design Document</w:t>
      </w:r>
      <w:r/>
    </w:p>
    <w:p>
      <w:pPr>
        <w:pStyle w:val="711"/>
        <w:pBdr/>
        <w:spacing/>
        <w:ind/>
        <w:rPr/>
      </w:pPr>
      <w:r>
        <w:t xml:space="preserve">Multi-channel Campaign Management Platform (SMS · Email · WhatsApp)</w:t>
      </w:r>
      <w:r/>
    </w:p>
    <w:p>
      <w:pPr>
        <w:pStyle w:val="713"/>
        <w:pBdr/>
        <w:spacing/>
        <w:ind/>
        <w:rPr/>
      </w:pPr>
      <w:r>
        <w:t xml:space="preserve">Trevor Taks</w:t>
      </w:r>
      <w:r/>
    </w:p>
    <w:p>
      <w:pPr>
        <w:pStyle w:val="714"/>
        <w:pBdr/>
        <w:spacing/>
        <w:ind/>
        <w:rPr/>
      </w:pPr>
      <w:r>
        <w:t xml:space="preserve">5 August 2026 — Version 1.0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753"/>
            <w:pBdr/>
            <w:spacing/>
            <w:ind/>
            <w:rPr/>
          </w:pPr>
          <w:r>
            <w:t xml:space="preserve">Table of Contents</w:t>
          </w:r>
          <w:r/>
        </w:p>
        <w:p>
          <w:pPr>
            <w:pBdr/>
            <w:spacing/>
            <w:ind/>
            <w:rPr/>
          </w:pPr>
          <w:r>
            <w:fldChar w:fldCharType="begin"/>
            <w:instrText xml:space="preserve">TOC \o "1-2" \h \z \u</w:instrText>
            <w:fldChar w:fldCharType="separate"/>
            <w:fldChar w:fldCharType="end"/>
          </w:r>
          <w:r/>
        </w:p>
      </w:sdtContent>
    </w:sdt>
    <w:p>
      <w:pPr>
        <w:pStyle w:val="718"/>
        <w:pBdr/>
        <w:spacing/>
        <w:ind/>
        <w:rPr/>
      </w:pPr>
      <w:r/>
      <w:bookmarkStart w:id="9" w:name="record-of-changes"/>
      <w:r>
        <w:t xml:space="preserve">Record of Changes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Version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Author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Description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1.0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2026-08-05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Trevor Taks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Initial SDD covering the as-built Phase 1 vertical slice and the design for Phases 2–4</w:t>
            </w:r>
            <w:bookmarkEnd w:id="9"/>
            <w:r/>
          </w:p>
        </w:tc>
      </w:tr>
    </w:tbl>
    <w:p>
      <w:pPr>
        <w:pStyle w:val="718"/>
        <w:pBdr/>
        <w:spacing/>
        <w:ind/>
        <w:rPr/>
      </w:pPr>
      <w:r/>
      <w:bookmarkStart w:id="15" w:name="project-overview"/>
      <w:r>
        <w:t xml:space="preserve">1. Project Overview</w:t>
      </w:r>
      <w:r/>
    </w:p>
    <w:p>
      <w:pPr>
        <w:pStyle w:val="719"/>
        <w:pBdr/>
        <w:spacing/>
        <w:ind/>
        <w:rPr/>
      </w:pPr>
      <w:r/>
      <w:bookmarkStart w:id="10" w:name="project-name"/>
      <w:r>
        <w:t xml:space="preserve">1.1 Project Name</w:t>
      </w:r>
      <w:r/>
    </w:p>
    <w:p>
      <w:pPr>
        <w:pStyle w:val="707"/>
        <w:pBdr/>
        <w:spacing/>
        <w:ind/>
        <w:rPr/>
      </w:pPr>
      <w:r>
        <w:rPr>
          <w:b/>
          <w:bCs/>
        </w:rPr>
        <w:t xml:space="preserve">Campaign Manager</w:t>
      </w:r>
      <w:r>
        <w:t xml:space="preserve"> </w:t>
      </w:r>
      <w:r>
        <w:t xml:space="preserve">(working identifier:</w:t>
      </w:r>
      <w:r>
        <w:t xml:space="preserve"> </w:t>
      </w:r>
      <w:r>
        <w:rPr>
          <w:rStyle w:val="749"/>
        </w:rPr>
        <w:t xml:space="preserve">CampaignManager</w:t>
      </w:r>
      <w:r>
        <w:t xml:space="preserve">; repository:</w:t>
      </w:r>
      <w:r>
        <w:t xml:space="preserve"> </w:t>
      </w:r>
      <w:r>
        <w:rPr>
          <w:rStyle w:val="749"/>
        </w:rPr>
        <w:t xml:space="preserve">CampaignManager.sln</w:t>
      </w:r>
      <w:r>
        <w:t xml:space="preserve">). No public domain name has been assigned yet; suggested:</w:t>
      </w:r>
      <w:r>
        <w:t xml:space="preserve"> </w:t>
      </w:r>
      <w:r>
        <w:rPr>
          <w:rStyle w:val="749"/>
        </w:rPr>
        <w:t xml:space="preserve">campaignmanager.&lt;company-domain&gt;</w:t>
      </w:r>
      <w:r>
        <w:t xml:space="preserve">.</w:t>
      </w:r>
      <w:bookmarkEnd w:id="10"/>
      <w:r/>
    </w:p>
    <w:p>
      <w:pPr>
        <w:pStyle w:val="719"/>
        <w:pBdr/>
        <w:spacing/>
        <w:ind/>
        <w:rPr/>
      </w:pPr>
      <w:r/>
      <w:bookmarkStart w:id="11" w:name="project-description"/>
      <w:r>
        <w:t xml:space="preserve">1.2 Project Description</w:t>
      </w:r>
      <w:r/>
    </w:p>
    <w:p>
      <w:pPr>
        <w:pStyle w:val="707"/>
        <w:pBdr/>
        <w:spacing/>
        <w:ind/>
        <w:rPr/>
      </w:pPr>
      <w:r>
        <w:t xml:space="preserve">Campaign Manager is a multi-tenant, provider-agnostic campaign management platform. External systems submit campaig</w:t>
      </w:r>
      <w:r>
        <w:t xml:space="preserve">ns over a REST API; the platform validates them synchronously, then sends messages asynchronously through configurable providers on three channels — SMS, Email and WhatsApp. Administrators manage providers, templates and monitoring through a web interface.</w:t>
      </w:r>
      <w:r/>
    </w:p>
    <w:p>
      <w:pPr>
        <w:pStyle w:val="706"/>
        <w:pBdr/>
        <w:spacing/>
        <w:ind/>
        <w:rPr/>
      </w:pPr>
      <w:r>
        <w:t xml:space="preserve">Goals:</w:t>
      </w:r>
      <w:r/>
    </w:p>
    <w:p>
      <w:pPr>
        <w:pStyle w:val="708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Provider-agnostic delivery</w:t>
      </w:r>
      <w:r>
        <w:t xml:space="preserve"> </w:t>
      </w:r>
      <w:r>
        <w:t xml:space="preserve">— business logic never depends on a specific provider (Twilio, SendGrid, Meta, etc.); providers are swappable configuration.</w:t>
      </w:r>
      <w:r/>
    </w:p>
    <w:p>
      <w:pPr>
        <w:pStyle w:val="708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Reliability at scale</w:t>
      </w:r>
      <w:r>
        <w:t xml:space="preserve"> </w:t>
      </w:r>
      <w:r>
        <w:t xml:space="preserve">— millions of recipients per campaign, with retries, failover, idempotent processing and full per-message delivery tracking.</w:t>
      </w:r>
      <w:r/>
    </w:p>
    <w:p>
      <w:pPr>
        <w:pStyle w:val="708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Multi-tenancy</w:t>
      </w:r>
      <w:r>
        <w:t xml:space="preserve"> </w:t>
      </w:r>
      <w:r>
        <w:t xml:space="preserve">— organizations own isolated providers, templates, campaigns, users and reports.</w:t>
      </w:r>
      <w:r/>
    </w:p>
    <w:p>
      <w:pPr>
        <w:pStyle w:val="708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Operability</w:t>
      </w:r>
      <w:r>
        <w:t xml:space="preserve"> </w:t>
      </w:r>
      <w:r>
        <w:t xml:space="preserve">— dashboards, reports, audit trails and delivery webhooks out of the box.</w:t>
      </w:r>
      <w:bookmarkEnd w:id="11"/>
      <w:r/>
    </w:p>
    <w:p>
      <w:pPr>
        <w:pStyle w:val="719"/>
        <w:pBdr/>
        <w:spacing/>
        <w:ind/>
        <w:rPr/>
      </w:pPr>
      <w:r/>
      <w:bookmarkStart w:id="12" w:name="stakeholders"/>
      <w:r>
        <w:t xml:space="preserve">1.3 Stakeholders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Stakeholder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Interest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Business owner / product sponsor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 reach, delivery success rates, cost per channel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External integrating systems (CRM, billing, e-commerce)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Stable REST API, API keys, webhooks, predictable SLAs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Platform administrators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 configuration, monitoring, failure triage, audit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Development &amp; operations team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Maintainable Clean Architecture codebase, CI/CD, observability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End recipients (indirect)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Timely, correctly personalized messages; opt-out compliance (future)</w:t>
            </w:r>
            <w:bookmarkEnd w:id="12"/>
            <w:r/>
          </w:p>
        </w:tc>
      </w:tr>
    </w:tbl>
    <w:p>
      <w:pPr>
        <w:pStyle w:val="719"/>
        <w:pBdr/>
        <w:spacing/>
        <w:ind/>
        <w:rPr/>
      </w:pPr>
      <w:r/>
      <w:bookmarkStart w:id="13" w:name="assumptions"/>
      <w:r>
        <w:t xml:space="preserve">1.4 Assumptions</w:t>
      </w:r>
      <w:r/>
    </w:p>
    <w:p>
      <w:pPr>
        <w:pStyle w:val="708"/>
        <w:numPr>
          <w:ilvl w:val="0"/>
          <w:numId w:val="3"/>
        </w:numPr>
        <w:pBdr/>
        <w:spacing/>
        <w:ind/>
        <w:rPr/>
      </w:pPr>
      <w:r>
        <w:t xml:space="preserve">.NET 8 (LTS) and SQL Server are the approved platform; local development uses Podman containers.</w:t>
      </w:r>
      <w:r/>
    </w:p>
    <w:p>
      <w:pPr>
        <w:pStyle w:val="708"/>
        <w:numPr>
          <w:ilvl w:val="0"/>
          <w:numId w:val="3"/>
        </w:numPr>
        <w:pBdr/>
        <w:spacing/>
        <w:ind/>
        <w:rPr/>
      </w:pPr>
      <w:r>
        <w:t xml:space="preserve">Phase 1 (delivered) is the core vertical slice; Phases 2–4 follow the roadmap in Section 13.</w:t>
      </w:r>
      <w:r/>
    </w:p>
    <w:p>
      <w:pPr>
        <w:pStyle w:val="708"/>
        <w:numPr>
          <w:ilvl w:val="0"/>
          <w:numId w:val="3"/>
        </w:numPr>
        <w:pBdr/>
        <w:spacing/>
        <w:ind/>
        <w:rPr/>
      </w:pPr>
      <w:r>
        <w:t xml:space="preserve">Provider accounts (Twilio, Meta, SMTP relay) are provisioned by the business per organization; the platform stores their credentials encrypted.</w:t>
      </w:r>
      <w:r/>
    </w:p>
    <w:p>
      <w:pPr>
        <w:pStyle w:val="708"/>
        <w:numPr>
          <w:ilvl w:val="0"/>
          <w:numId w:val="3"/>
        </w:numPr>
        <w:pBdr/>
        <w:spacing/>
        <w:ind/>
        <w:rPr/>
      </w:pPr>
      <w:r>
        <w:t xml:space="preserve">Message volume grows toward millions of recipients per campaign; the design defers (but plans for) table partitioning and broker-based queuing until volume demands them.</w:t>
      </w:r>
      <w:r/>
    </w:p>
    <w:p>
      <w:pPr>
        <w:pStyle w:val="708"/>
        <w:numPr>
          <w:ilvl w:val="0"/>
          <w:numId w:val="3"/>
        </w:numPr>
        <w:pBdr/>
        <w:spacing/>
        <w:ind/>
        <w:rPr/>
      </w:pPr>
      <w:r>
        <w:t xml:space="preserve">A single shared SQL Server instance serves Phase 1–2; read replicas and Redis are Phase 3 concerns.</w:t>
      </w:r>
      <w:bookmarkEnd w:id="13"/>
      <w:r/>
    </w:p>
    <w:p>
      <w:pPr>
        <w:pStyle w:val="719"/>
        <w:pBdr/>
        <w:spacing/>
        <w:ind/>
        <w:rPr/>
      </w:pPr>
      <w:r/>
      <w:bookmarkStart w:id="14" w:name="use-cases-core-features"/>
      <w:r>
        <w:t xml:space="preserve">1.5 Use Cases — Core Features</w:t>
      </w:r>
      <w:r/>
    </w:p>
    <w:p>
      <w:pPr>
        <w:pStyle w:val="707"/>
        <w:pBdr/>
        <w:spacing/>
        <w:ind/>
        <w:rPr/>
      </w:pPr>
      <w:r>
        <w:rPr>
          <w:b/>
          <w:bCs/>
        </w:rPr>
        <w:t xml:space="preserve">Must have (core, Phase 1 — delivered):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Submit a campaign via REST (name, channel, sender, body or template, recipients with personalization, optional schedule) and receive</w:t>
      </w:r>
      <w:r>
        <w:t xml:space="preserve"> </w:t>
      </w:r>
      <w:r>
        <w:rPr>
          <w:rStyle w:val="749"/>
        </w:rPr>
        <w:t xml:space="preserve">CampaignId</w:t>
      </w:r>
      <w:r>
        <w:t xml:space="preserve">,</w:t>
      </w:r>
      <w:r>
        <w:t xml:space="preserve"> </w:t>
      </w:r>
      <w:r>
        <w:rPr>
          <w:rStyle w:val="749"/>
        </w:rPr>
        <w:t xml:space="preserve">TrackingId</w:t>
      </w:r>
      <w:r>
        <w:t xml:space="preserve"> </w:t>
      </w:r>
      <w:r>
        <w:t xml:space="preserve">and initial status immediately.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Asynchronous sending through the highest-priority enabled provider with automatic failover and retries.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Query campaign status by id or tracking id: per-status counts, timings, failure reasons.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Cancel a campaign before/while processing.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Schedule a campaign for future dispatch.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Per-message delivery tracking (Queued → Processing → Sent → Delivered → Read/Failed/Expired/Rejected/Unknown) updated by provider webhooks.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Template rendering with</w:t>
      </w:r>
      <w:r>
        <w:t xml:space="preserve"> </w:t>
      </w:r>
      <w:r>
        <w:rPr>
          <w:rStyle w:val="749"/>
        </w:rPr>
        <w:t xml:space="preserve">{{Placeholder}}</w:t>
      </w:r>
      <w:r>
        <w:t xml:space="preserve"> </w:t>
      </w:r>
      <w:r>
        <w:t xml:space="preserve">personalization.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JWT and API-key authentication; organization-scoped data isolation.</w:t>
      </w:r>
      <w:r/>
    </w:p>
    <w:p>
      <w:pPr>
        <w:pStyle w:val="708"/>
        <w:numPr>
          <w:ilvl w:val="0"/>
          <w:numId w:val="4"/>
        </w:numPr>
        <w:pBdr/>
        <w:spacing/>
        <w:ind/>
        <w:rPr/>
      </w:pPr>
      <w:r>
        <w:t xml:space="preserve">Admin UI: sign-in, campaign list/detail with delivery chart.</w:t>
      </w:r>
      <w:r/>
    </w:p>
    <w:p>
      <w:pPr>
        <w:pStyle w:val="707"/>
        <w:pBdr/>
        <w:spacing/>
        <w:ind/>
        <w:rPr/>
      </w:pPr>
      <w:r>
        <w:rPr>
          <w:b/>
          <w:bCs/>
        </w:rPr>
        <w:t xml:space="preserve">Should have (Phase 2):</w:t>
      </w:r>
      <w:r>
        <w:t xml:space="preserve"> </w:t>
      </w:r>
      <w:r>
        <w:t xml:space="preserve">provider CRUD UI with test-connection, rate limits and retry policies; template CRUD + preview; CSV recipient upload; audit logging; dashboard and reports; notifications; API-key management UI.</w:t>
      </w:r>
      <w:r/>
    </w:p>
    <w:p>
      <w:pPr>
        <w:pStyle w:val="706"/>
        <w:pBdr/>
        <w:spacing/>
        <w:ind/>
        <w:rPr/>
      </w:pPr>
      <w:r>
        <w:rPr>
          <w:b/>
          <w:bCs/>
        </w:rPr>
        <w:t xml:space="preserve">Nice to have (Phases 3–4):</w:t>
      </w:r>
      <w:r>
        <w:t xml:space="preserve"> </w:t>
      </w:r>
      <w:r>
        <w:t xml:space="preserve">recurring campaigns, additional providers (Africa’s Talking, Clickatell, SMPP, SendGrid, Mailgun, SES, Infobip), Redis caching, exports (Excel/CSV/PDF), external IdP, broker-based dispatch, multi-region.</w:t>
      </w:r>
      <w:bookmarkEnd w:id="14"/>
      <w:bookmarkEnd w:id="15"/>
      <w:r/>
    </w:p>
    <w:p>
      <w:pPr>
        <w:pStyle w:val="718"/>
        <w:pBdr/>
        <w:spacing/>
        <w:ind/>
        <w:rPr/>
      </w:pPr>
      <w:r/>
      <w:bookmarkStart w:id="18" w:name="requirements"/>
      <w:r>
        <w:t xml:space="preserve">2. Requirements</w:t>
      </w:r>
      <w:r/>
    </w:p>
    <w:p>
      <w:pPr>
        <w:pStyle w:val="719"/>
        <w:pBdr/>
        <w:spacing/>
        <w:ind/>
        <w:rPr/>
      </w:pPr>
      <w:r/>
      <w:bookmarkStart w:id="16" w:name="functional-requirements"/>
      <w:r>
        <w:t xml:space="preserve">2.1 Functional Requirements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#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Feature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Description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 creation API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POST /api/campaigns</w:t>
            </w:r>
            <w:r>
              <w:t xml:space="preserve"> </w:t>
            </w:r>
            <w:r>
              <w:t xml:space="preserve">accepts name, channel (SMS/Email/WhatsA</w:t>
            </w:r>
            <w:r>
              <w:t xml:space="preserve">pp), sender, subject (email), body or template reference, recipients (inline list; bulk/CSV in Phase 2), tags, metadata, priority, optional schedule and callback URL. Validation is synchronous; response (202) returns CampaignId, TrackingId, initial status.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F2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 status API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GET /api/campaigns/{id}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749"/>
              </w:rPr>
              <w:t xml:space="preserve">GET /api/campaigns/by-tracking/{trackingId}</w:t>
            </w:r>
            <w:r>
              <w:t xml:space="preserve"> </w:t>
            </w:r>
            <w:r>
              <w:t xml:space="preserve">return current status, per-status message counts, start/finish times, top failure reasons and statistics.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F3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Cancellation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POST /api/campaigns/{id}/cancel</w:t>
            </w:r>
            <w:r>
              <w:t xml:space="preserve"> </w:t>
            </w:r>
            <w:r>
              <w:t xml:space="preserve">cancels scheduled or in-flight campaigns; queued messages expire, running batches stop at the next probe.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F4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Scheduling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Future</w:t>
            </w:r>
            <w:r>
              <w:t xml:space="preserve"> </w:t>
            </w:r>
            <w:r>
              <w:rPr>
                <w:rStyle w:val="749"/>
              </w:rPr>
              <w:t xml:space="preserve">scheduledAtUtc</w:t>
            </w:r>
            <w:r>
              <w:t xml:space="preserve"> </w:t>
            </w:r>
            <w:r>
              <w:t xml:space="preserve">stores a Hangfire scheduled job; recurring campaigns are a Phase 3 extension of the same mechanism.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F5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 management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Admins add/edit/disable providers per channel, set priority, credentials (encrypted), endpoints, webhook secrets; test connection, rate limits and retry policy per provider (Phase 2 UI; schema in place).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F6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 selection &amp; failover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Strategy pattern: highest-priority enabled provider first; transient failures (connectivity, auth, 5xx) fail over to the next provider; recipient rejections do not.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F7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Templates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Reusable per-channel templates with</w:t>
            </w:r>
            <w:r>
              <w:t xml:space="preserve"> </w:t>
            </w:r>
            <w:r>
              <w:rPr>
                <w:rStyle w:val="749"/>
              </w:rPr>
              <w:t xml:space="preserve">{{Placeholder}}</w:t>
            </w:r>
            <w:r>
              <w:t xml:space="preserve"> </w:t>
            </w:r>
            <w:r>
              <w:t xml:space="preserve">tokens; preview (Phase 2). Single-pass rendering prevents token injection.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F8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Recipient management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Inline lists with case-insensitive deduplication and validation; CSV/streamed upload and saved lists in Phase 2.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F9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Delivery tracking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Every message tracked individually with provider message ids and an append-only DeliveryEvents history.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F10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Webhooks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POST /api/webhooks/{providerKey}</w:t>
            </w:r>
            <w:r>
              <w:t xml:space="preserve"> </w:t>
            </w:r>
            <w:r>
              <w:t xml:space="preserve">receives provider delivery reports (secret-protected); status updates are monotonic.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F11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Reporting &amp; dashboard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Daily/monthly volumes, success/failure rates, per-provider/channel breakdowns, top campaigns, delivery timeline; exports (Phase 2 – design in Section 8 of docs/08-reporting.md).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F12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Audit logging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Who/what/when/IP/old/new for admin actions (table delivered; interceptor Phase 2).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F13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Authentication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JWT for users, API keys for systems, cookie auth for Admin UI; roles Admin/Operator/Viewer/ApiClient.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F14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Multi-tenancy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Organization-scoped providers, templates, campaigns, users, API keys and reports with enforced data isolation.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F15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Search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Campaigns searchable by name, id, tracking id, status, channel, date; provider/tags filters in Phase 2.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F16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Notifications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Admin alerts for provider offline/auth failure, campaign completed/failed, high failure rate (Phase 2).</w:t>
            </w:r>
            <w:bookmarkEnd w:id="16"/>
            <w:r/>
          </w:p>
        </w:tc>
      </w:tr>
    </w:tbl>
    <w:p>
      <w:pPr>
        <w:pStyle w:val="719"/>
        <w:pBdr/>
        <w:spacing/>
        <w:ind/>
        <w:rPr/>
      </w:pPr>
      <w:r/>
      <w:bookmarkStart w:id="17" w:name="non-functional-requirements"/>
      <w:r>
        <w:t xml:space="preserve">2.2 Non-Functional Requirements</w:t>
      </w:r>
      <w:r/>
    </w:p>
    <w:p>
      <w:pPr>
        <w:pStyle w:val="707"/>
        <w:pBdr/>
        <w:spacing/>
        <w:ind/>
        <w:rPr/>
      </w:pPr>
      <w:r>
        <w:rPr>
          <w:b/>
          <w:bCs/>
        </w:rPr>
        <w:t xml:space="preserve">Performance.</w:t>
      </w:r>
      <w:r>
        <w:t xml:space="preserve"> </w:t>
      </w:r>
      <w:r>
        <w:t xml:space="preserve">Campaign submission returns ≤ 500 ms for 10k inline recipients (validation + chu</w:t>
      </w:r>
      <w:r>
        <w:t xml:space="preserve">nked insert); sending throughput scales linearly with worker replicas (Phase 1 measured: 100 messages across fake providers in ~20 s on a single dev worker with simulated latency; real-provider throughput is provider-bound). Status queries are index-only (</w:t>
      </w:r>
      <w:r>
        <w:rPr>
          <w:rStyle w:val="749"/>
        </w:rPr>
        <w:t xml:space="preserve">(CampaignId, Status)</w:t>
      </w:r>
      <w:r>
        <w:t xml:space="preserve">) and return in tens of milliseconds at millions of rows.</w:t>
      </w:r>
      <w:r/>
    </w:p>
    <w:p>
      <w:pPr>
        <w:pStyle w:val="706"/>
        <w:pBdr/>
        <w:spacing/>
        <w:ind/>
        <w:rPr/>
      </w:pPr>
      <w:r>
        <w:rPr>
          <w:b/>
          <w:bCs/>
        </w:rPr>
        <w:t xml:space="preserve">Scalability.</w:t>
      </w:r>
      <w:r>
        <w:t xml:space="preserve"> </w:t>
      </w:r>
      <w:r>
        <w:t xml:space="preserve">Stateless API — horizontal replicas behind a load bala</w:t>
      </w:r>
      <w:r>
        <w:t xml:space="preserve">ncer. Workers scale horizontally; Hangfire storage locks distribute jobs safely. Send fan-out uses disjoint 500-message id ranges so replicas never contend. Growth path: SqlBulkCopy imports → monthly table partitioning → broker-based dispatch (Section 13).</w:t>
      </w:r>
      <w:r/>
    </w:p>
    <w:p>
      <w:pPr>
        <w:pStyle w:val="706"/>
        <w:pBdr/>
        <w:spacing/>
        <w:ind/>
        <w:rPr/>
      </w:pPr>
      <w:r>
        <w:rPr>
          <w:b/>
          <w:bCs/>
        </w:rPr>
        <w:t xml:space="preserve">Security.</w:t>
      </w:r>
      <w:r>
        <w:t xml:space="preserve"> </w:t>
      </w:r>
      <w:r>
        <w:t xml:space="preserve">JWT (HS256, 60-min expiry) and hashed API keys; encrypted provider credentials (ASP.N</w:t>
      </w:r>
      <w:r>
        <w:t xml:space="preserve">ET Data Protection); tenant isolation via EF global query filters; webhook shared secrets with constant-time comparison; anti-forgery in Admin UI; FluentValidation on all inputs; ProblemDetails responses that never leak internals. Full review in Section 7.</w:t>
      </w:r>
      <w:r/>
    </w:p>
    <w:p>
      <w:pPr>
        <w:pStyle w:val="706"/>
        <w:pBdr/>
        <w:spacing/>
        <w:ind/>
        <w:rPr/>
      </w:pPr>
      <w:r>
        <w:rPr>
          <w:b/>
          <w:bCs/>
        </w:rPr>
        <w:t xml:space="preserve">Reliability.</w:t>
      </w:r>
      <w:r>
        <w:t xml:space="preserve"> </w:t>
      </w:r>
      <w:r>
        <w:t xml:space="preserve">Target 99.9 % API availability. At-least-once job execution made safe by status-driven, range-scoped idempotent jobs; automatic retries (30 s/2 m/10 m); provider failover; poison jobs surface in the Hangfire dashboard for replay. Health endpoints (</w:t>
      </w:r>
      <w:r>
        <w:rPr>
          <w:rStyle w:val="749"/>
        </w:rPr>
        <w:t xml:space="preserve">/health/live</w:t>
      </w:r>
      <w:r>
        <w:t xml:space="preserve">,</w:t>
      </w:r>
      <w:r>
        <w:t xml:space="preserve"> </w:t>
      </w:r>
      <w:r>
        <w:rPr>
          <w:rStyle w:val="749"/>
        </w:rPr>
        <w:t xml:space="preserve">/health/ready</w:t>
      </w:r>
      <w:r>
        <w:t xml:space="preserve">) drive orchestrator restarts. Disaster recovery in Section 11.</w:t>
      </w:r>
      <w:r/>
    </w:p>
    <w:p>
      <w:pPr>
        <w:pStyle w:val="706"/>
        <w:pBdr/>
        <w:spacing/>
        <w:ind/>
        <w:rPr/>
      </w:pPr>
      <w:r>
        <w:rPr>
          <w:b/>
          <w:bCs/>
        </w:rPr>
        <w:t xml:space="preserve">Maintainability.</w:t>
      </w:r>
      <w:r>
        <w:t xml:space="preserve"> </w:t>
      </w:r>
      <w:r>
        <w:t xml:space="preserve">Clean Architecture with an inward-only dependency rule; central package management (one version file); nullable refe</w:t>
      </w:r>
      <w:r>
        <w:t xml:space="preserve">rence types; state machines as pure, unit-tested functions; 53 automated tests (unit + integration with a throwaway per-run database); structured logging (Serilog) and OpenTelemetry tracing; conventional commits and a documented 13-file architecture set in</w:t>
      </w:r>
      <w:r>
        <w:t xml:space="preserve"> </w:t>
      </w:r>
      <w:r>
        <w:rPr>
          <w:rStyle w:val="749"/>
        </w:rPr>
        <w:t xml:space="preserve">docs/</w:t>
      </w:r>
      <w:r>
        <w:t xml:space="preserve">.</w:t>
      </w:r>
      <w:bookmarkEnd w:id="17"/>
      <w:bookmarkEnd w:id="18"/>
      <w:r/>
    </w:p>
    <w:p>
      <w:pPr>
        <w:pStyle w:val="718"/>
        <w:pBdr/>
        <w:spacing/>
        <w:ind/>
        <w:rPr/>
      </w:pPr>
      <w:r/>
      <w:bookmarkStart w:id="22" w:name="system-architecture"/>
      <w:r>
        <w:t xml:space="preserve">3. System Architecture</w:t>
      </w:r>
      <w:r/>
    </w:p>
    <w:p>
      <w:pPr>
        <w:pStyle w:val="719"/>
        <w:pBdr/>
        <w:spacing/>
        <w:ind/>
        <w:rPr/>
      </w:pPr>
      <w:r/>
      <w:bookmarkStart w:id="19" w:name="high-level-diagram"/>
      <w:r>
        <w:t xml:space="preserve">3.1 High-Level Diagram</w:t>
      </w:r>
      <w:r/>
    </w:p>
    <w:p>
      <w:pPr>
        <w:pStyle w:val="707"/>
        <w:pBdr/>
        <w:spacing/>
        <w:ind/>
        <w:rPr/>
      </w:pPr>
      <w:r>
        <w:t xml:space="preserve">Modular monolith deployed as three cooperating hosts sharing one database — a deliberate middle ground between a monolith (deployment coupling) and microservices (operational overhead unjustified at this stage).</w:t>
      </w:r>
      <w:r/>
    </w:p>
    <w:p w14:paraId="08E0BED1">
      <w:pPr>
        <w:pStyle w:val="706"/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624573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36990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000" cy="6245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2pt;height:491.7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</w:p>
    <w:p>
      <w:pPr>
        <w:pStyle w:val="719"/>
        <w:pBdr/>
        <w:spacing/>
        <w:ind/>
        <w:rPr/>
      </w:pPr>
      <w:r/>
      <w:bookmarkStart w:id="20" w:name="technology-stack"/>
      <w:r>
        <w:t xml:space="preserve">3.2 Technology Stack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Layer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Technology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Frontend (admin)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ASP.NET Core MVC, Bootstrap 5, Chart.js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Backend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ASP.NET Core (.NET 8 LTS), MediatR (CQRS), FluentValidation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Background processing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Hangfire 1.8 (SQL Server storage)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Database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SQL Server 2022; EF Core 8 (code-first migrations)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Auth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ASP.NET Identity, JWT (HS256), custom API-key scheme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Observability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Serilog (structured logs), OpenTelemetry (tracing), health checks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Infrastructure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Podman/Docker containers; docker-compose for dev; any container orchestrator for production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 documentation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Swagger / OpenAPI (Swashbuckle)</w:t>
            </w:r>
            <w:bookmarkEnd w:id="20"/>
            <w:r/>
          </w:p>
        </w:tc>
      </w:tr>
    </w:tbl>
    <w:p>
      <w:pPr>
        <w:pStyle w:val="719"/>
        <w:pBdr/>
        <w:spacing/>
        <w:ind/>
        <w:rPr/>
      </w:pPr>
      <w:r/>
      <w:bookmarkStart w:id="21" w:name="system-components"/>
      <w:r>
        <w:t xml:space="preserve">3.3 System Components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Component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Responsibility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CampaignManager.Domain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Entities, enums, campaign/message state machines, domain exceptions. Zero dependencies.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CampaignManager.Contracts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Request/response DTOs shared with external consumers (publishable as NuGet).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CampaignManager.Application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Commands/queries + validators, provider</w:t>
            </w:r>
            <w:r>
              <w:t xml:space="preserve"> </w:t>
            </w:r>
            <w:r>
              <w:rPr>
                <w:b/>
                <w:bCs/>
              </w:rPr>
              <w:t xml:space="preserve">interfaces</w:t>
            </w:r>
            <w:r>
              <w:t xml:space="preserve">, job contracts, template renderer, tenant/dispatcher/encryption abstractions.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CampaignManager.Infrastructure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EF Core DbContext + migrations, Identity, JWT/API-key auth, provider implementations + registry/selector, Hangfire job implementation, Data Protection credential encryption.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CampaignManager.Api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REST host: auth pipeline, tenant middleware, Swagger, ProblemDetails, health checks, webhook endpoints.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CampaignManager.Workers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Hangfire server executing campaign jobs; dashboard.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CampaignManager.AdminUI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Cookie-authenticated MVC admin: campaigns list/detail, charts (provider/template CRUD in Phase 2).</w:t>
            </w:r>
            <w:r/>
          </w:p>
        </w:tc>
      </w:tr>
    </w:tbl>
    <w:p>
      <w:pPr>
        <w:pStyle w:val="706"/>
        <w:pBdr/>
        <w:spacing/>
        <w:ind/>
        <w:rPr/>
      </w:pPr>
      <w:r>
        <w:rPr>
          <w:b/>
          <w:bCs/>
        </w:rPr>
        <w:t xml:space="preserve">Third-party services:</w:t>
      </w:r>
      <w:r>
        <w:t xml:space="preserve"> </w:t>
      </w:r>
      <w:r>
        <w:t xml:space="preserve">Twilio SMS REST API, Meta WhatsApp Cloud API (Graph v19), any SMTP relay. Planned: SendGrid, Mailgun, Amazon SES, Africa’s Talking, Clickatell, Infobip, Twilio WhatsApp, custom SMPP.</w:t>
      </w:r>
      <w:bookmarkEnd w:id="21"/>
      <w:bookmarkEnd w:id="22"/>
      <w:r/>
    </w:p>
    <w:p>
      <w:pPr>
        <w:pStyle w:val="718"/>
        <w:pBdr/>
        <w:spacing/>
        <w:ind/>
        <w:rPr/>
      </w:pPr>
      <w:r/>
      <w:bookmarkStart w:id="29" w:name="module-design"/>
      <w:r>
        <w:t xml:space="preserve">4. Module Design</w:t>
      </w:r>
      <w:r/>
    </w:p>
    <w:p>
      <w:pPr>
        <w:pStyle w:val="719"/>
        <w:pBdr/>
        <w:spacing/>
        <w:ind/>
        <w:rPr/>
      </w:pPr>
      <w:r/>
      <w:bookmarkStart w:id="23" w:name="X4ea79184a177b63370ffe90b8a8ca8933bad1db"/>
      <w:r>
        <w:t xml:space="preserve">4.1 Campaign Intake (Application:</w:t>
      </w:r>
      <w:r>
        <w:t xml:space="preserve"> </w:t>
      </w:r>
      <w:r>
        <w:rPr>
          <w:rStyle w:val="749"/>
        </w:rPr>
        <w:t xml:space="preserve">CreateCampaignCommand</w:t>
      </w:r>
      <w:r>
        <w:t xml:space="preserve">)</w:t>
      </w:r>
      <w:r/>
    </w:p>
    <w:p>
      <w:pPr>
        <w:pStyle w:val="708"/>
        <w:numPr>
          <w:ilvl w:val="0"/>
          <w:numId w:val="5"/>
        </w:numPr>
        <w:pBdr/>
        <w:spacing/>
        <w:ind/>
        <w:rPr/>
      </w:pPr>
      <w:r>
        <w:rPr>
          <w:b/>
          <w:bCs/>
        </w:rPr>
        <w:t xml:space="preserve">Purpose:</w:t>
      </w:r>
      <w:r>
        <w:t xml:space="preserve"> </w:t>
      </w:r>
      <w:r>
        <w:t xml:space="preserve">validate and persist a campaign, pre-create per-recipient message rows, hand off to background dispatch.</w:t>
      </w:r>
      <w:r/>
    </w:p>
    <w:p>
      <w:pPr>
        <w:pStyle w:val="708"/>
        <w:numPr>
          <w:ilvl w:val="0"/>
          <w:numId w:val="5"/>
        </w:numPr>
        <w:pBdr/>
        <w:spacing/>
        <w:ind/>
        <w:rPr/>
      </w:pPr>
      <w:r>
        <w:rPr>
          <w:b/>
          <w:bCs/>
        </w:rPr>
        <w:t xml:space="preserve">Inputs:</w:t>
      </w:r>
      <w:r>
        <w:t xml:space="preserve"> </w:t>
      </w:r>
      <w:r>
        <w:rPr>
          <w:rStyle w:val="749"/>
        </w:rPr>
        <w:t xml:space="preserve">CreateCampaignRequest</w:t>
      </w:r>
      <w:r>
        <w:t xml:space="preserve"> </w:t>
      </w:r>
      <w:r>
        <w:t xml:space="preserve">DTO + authenticated tenant (</w:t>
      </w:r>
      <w:r>
        <w:rPr>
          <w:rStyle w:val="749"/>
        </w:rPr>
        <w:t xml:space="preserve">OrganizationId</w:t>
      </w:r>
      <w:r>
        <w:t xml:space="preserve"> </w:t>
      </w:r>
      <w:r>
        <w:t xml:space="preserve">claim).</w:t>
      </w:r>
      <w:r/>
    </w:p>
    <w:p>
      <w:pPr>
        <w:pStyle w:val="708"/>
        <w:numPr>
          <w:ilvl w:val="0"/>
          <w:numId w:val="5"/>
        </w:numPr>
        <w:pBdr/>
        <w:spacing/>
        <w:ind/>
        <w:rPr/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749"/>
        </w:rPr>
        <w:t xml:space="preserve">CreateCampaignResponse</w:t>
      </w:r>
      <w:r>
        <w:t xml:space="preserve"> </w:t>
      </w:r>
      <w:r>
        <w:t xml:space="preserve">(CampaignId, TrackingId, status Queued/Scheduled); rows in Campaigns/CampaignRecipients/Messages; one Hangfire job.</w:t>
      </w:r>
      <w:r/>
    </w:p>
    <w:p>
      <w:pPr>
        <w:pStyle w:val="708"/>
        <w:numPr>
          <w:ilvl w:val="0"/>
          <w:numId w:val="5"/>
        </w:numPr>
        <w:pBdr/>
        <w:spacing/>
        <w:ind/>
        <w:rPr/>
      </w:pPr>
      <w:r>
        <w:rPr>
          <w:b/>
          <w:bCs/>
        </w:rPr>
        <w:t xml:space="preserve">Dependencies:</w:t>
      </w:r>
      <w:r>
        <w:t xml:space="preserve"> </w:t>
      </w:r>
      <w:r>
        <w:rPr>
          <w:rStyle w:val="749"/>
        </w:rPr>
        <w:t xml:space="preserve">IAppDbContext</w:t>
      </w:r>
      <w:r>
        <w:t xml:space="preserve">,</w:t>
      </w:r>
      <w:r>
        <w:t xml:space="preserve"> </w:t>
      </w:r>
      <w:r>
        <w:rPr>
          <w:rStyle w:val="749"/>
        </w:rPr>
        <w:t xml:space="preserve">ICurrentTenant</w:t>
      </w:r>
      <w:r>
        <w:t xml:space="preserve">,</w:t>
      </w:r>
      <w:r>
        <w:t xml:space="preserve"> </w:t>
      </w:r>
      <w:r>
        <w:rPr>
          <w:rStyle w:val="749"/>
        </w:rPr>
        <w:t xml:space="preserve">ICampaignDispatcher</w:t>
      </w:r>
      <w:r>
        <w:t xml:space="preserve">, FluentValidation pipeline.</w:t>
      </w:r>
      <w:r/>
    </w:p>
    <w:p>
      <w:pPr>
        <w:pStyle w:val="708"/>
        <w:numPr>
          <w:ilvl w:val="0"/>
          <w:numId w:val="5"/>
        </w:numPr>
        <w:pBdr/>
        <w:spacing/>
        <w:ind/>
        <w:rPr/>
      </w:pPr>
      <w:r>
        <w:rPr>
          <w:b/>
          <w:bCs/>
        </w:rPr>
        <w:t xml:space="preserve">Flow:</w:t>
      </w:r>
      <w:r>
        <w:t xml:space="preserve"> </w:t>
      </w:r>
      <w:r>
        <w:t xml:space="preserve">validate → dedupe recipients (case-insensitive) → insert campaign → chunked (1 000) insert recipients + messages → transition Draft→Queued (or →Scheduled) → enqueue/schedule dispatch job → 202.</w:t>
      </w:r>
      <w:bookmarkEnd w:id="23"/>
      <w:r/>
    </w:p>
    <w:p>
      <w:pPr>
        <w:pStyle w:val="719"/>
        <w:pBdr/>
        <w:spacing/>
        <w:ind/>
        <w:rPr/>
      </w:pPr>
      <w:r/>
      <w:bookmarkStart w:id="24" w:name="X05ee5d496d977cf7f23356fb33015e77e5dc470"/>
      <w:r>
        <w:t xml:space="preserve">4.2 Campaign Processing (Infrastructure:</w:t>
      </w:r>
      <w:r>
        <w:t xml:space="preserve"> </w:t>
      </w:r>
      <w:r>
        <w:rPr>
          <w:rStyle w:val="749"/>
        </w:rPr>
        <w:t xml:space="preserve">CampaignProcessingJob</w:t>
      </w:r>
      <w:r>
        <w:t xml:space="preserve">)</w:t>
      </w:r>
      <w:r/>
    </w:p>
    <w:p>
      <w:pPr>
        <w:pStyle w:val="708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Purpose:</w:t>
      </w:r>
      <w:r>
        <w:t xml:space="preserve"> </w:t>
      </w:r>
      <w:r>
        <w:t xml:space="preserve">execute the send pipeline reliably (dispatch → parallel batches → finalize).</w:t>
      </w:r>
      <w:r/>
    </w:p>
    <w:p>
      <w:pPr>
        <w:pStyle w:val="708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Inputs:</w:t>
      </w:r>
      <w:r>
        <w:t xml:space="preserve"> </w:t>
      </w:r>
      <w:r>
        <w:t xml:space="preserve">job arguments</w:t>
      </w:r>
      <w:r>
        <w:t xml:space="preserve"> </w:t>
      </w:r>
      <w:r>
        <w:rPr>
          <w:rStyle w:val="749"/>
        </w:rPr>
        <w:t xml:space="preserve">(organizationId, campaignId[, firstMessageId, lastMessageId])</w:t>
      </w:r>
      <w:r>
        <w:t xml:space="preserve"> </w:t>
      </w:r>
      <w:r>
        <w:t xml:space="preserve">— no ambient tenant in jobs.</w:t>
      </w:r>
      <w:r/>
    </w:p>
    <w:p>
      <w:pPr>
        <w:pStyle w:val="708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Outputs:</w:t>
      </w:r>
      <w:r>
        <w:t xml:space="preserve"> </w:t>
      </w:r>
      <w:r>
        <w:t xml:space="preserve">message status transitions, DeliveryEvents, campaign counters + final status.</w:t>
      </w:r>
      <w:r/>
    </w:p>
    <w:p>
      <w:pPr>
        <w:pStyle w:val="708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Dependencies:</w:t>
      </w:r>
      <w:r>
        <w:t xml:space="preserve"> </w:t>
      </w:r>
      <w:r>
        <w:rPr>
          <w:rStyle w:val="749"/>
        </w:rPr>
        <w:t xml:space="preserve">IProviderSelector</w:t>
      </w:r>
      <w:r>
        <w:t xml:space="preserve">,</w:t>
      </w:r>
      <w:r>
        <w:t xml:space="preserve"> </w:t>
      </w:r>
      <w:r>
        <w:rPr>
          <w:rStyle w:val="749"/>
        </w:rPr>
        <w:t xml:space="preserve">FailoverSender</w:t>
      </w:r>
      <w:r>
        <w:t xml:space="preserve">,</w:t>
      </w:r>
      <w:r>
        <w:t xml:space="preserve"> </w:t>
      </w:r>
      <w:r>
        <w:rPr>
          <w:rStyle w:val="749"/>
        </w:rPr>
        <w:t xml:space="preserve">ITemplateRenderer</w:t>
      </w:r>
      <w:r>
        <w:t xml:space="preserve">,</w:t>
      </w:r>
      <w:r>
        <w:t xml:space="preserve"> </w:t>
      </w:r>
      <w:r>
        <w:rPr>
          <w:rStyle w:val="749"/>
        </w:rPr>
        <w:t xml:space="preserve">IBackgroundJobClient</w:t>
      </w:r>
      <w:r>
        <w:t xml:space="preserve">,</w:t>
      </w:r>
      <w:r>
        <w:t xml:space="preserve"> </w:t>
      </w:r>
      <w:r>
        <w:rPr>
          <w:rStyle w:val="749"/>
        </w:rPr>
        <w:t xml:space="preserve">ITenantSetter</w:t>
      </w:r>
      <w:r>
        <w:t xml:space="preserve">.</w:t>
      </w:r>
      <w:r/>
    </w:p>
    <w:p>
      <w:pPr>
        <w:pStyle w:val="708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Flow (sequence):</w:t>
      </w:r>
      <w:r/>
    </w:p>
    <w:p>
      <w:pPr>
        <w:pStyle w:val="754"/>
        <w:pBdr/>
        <w:spacing/>
        <w:ind/>
        <w:rPr/>
      </w:pPr>
      <w:r>
        <w:rPr>
          <w:rStyle w:val="749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569589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16871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000" cy="5695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2pt;height:448.5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Style w:val="749"/>
        </w:rPr>
      </w:r>
      <w:r/>
    </w:p>
    <w:p>
      <w:pPr>
        <w:pStyle w:val="708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Idempotency:</w:t>
      </w:r>
      <w:r>
        <w:t xml:space="preserve"> </w:t>
      </w:r>
      <w:r>
        <w:t xml:space="preserve">every job re-derives work from message</w:t>
      </w:r>
      <w:r>
        <w:t xml:space="preserve"> </w:t>
      </w:r>
      <w:r>
        <w:rPr>
          <w:rStyle w:val="749"/>
        </w:rPr>
        <w:t xml:space="preserve">Status</w:t>
      </w:r>
      <w:r>
        <w:t xml:space="preserve">; re-execution skips advanced rows; batch ranges are disjoint.</w:t>
      </w:r>
      <w:bookmarkEnd w:id="24"/>
      <w:r/>
    </w:p>
    <w:p>
      <w:pPr>
        <w:pStyle w:val="719"/>
        <w:pBdr/>
        <w:spacing/>
        <w:ind/>
        <w:rPr/>
      </w:pPr>
      <w:r/>
      <w:bookmarkStart w:id="25" w:name="X5344e0d929260d34b94c1b292e40bdf55dc3990"/>
      <w:r>
        <w:t xml:space="preserve">4.3 Provider Strategy (Application interfaces / Infrastructure implementations)</w:t>
      </w:r>
      <w:r/>
    </w:p>
    <w:p>
      <w:pPr>
        <w:pStyle w:val="708"/>
        <w:numPr>
          <w:ilvl w:val="0"/>
          <w:numId w:val="8"/>
        </w:numPr>
        <w:pBdr/>
        <w:spacing/>
        <w:ind/>
        <w:rPr/>
      </w:pPr>
      <w:r>
        <w:rPr>
          <w:b/>
          <w:bCs/>
        </w:rPr>
        <w:t xml:space="preserve">Purpose:</w:t>
      </w:r>
      <w:r>
        <w:t xml:space="preserve"> </w:t>
      </w:r>
      <w:r>
        <w:t xml:space="preserve">decouple sending from concrete providers; priority selection and failover.</w:t>
      </w:r>
      <w:r/>
    </w:p>
    <w:p>
      <w:pPr>
        <w:pStyle w:val="708"/>
        <w:numPr>
          <w:ilvl w:val="0"/>
          <w:numId w:val="8"/>
        </w:numPr>
        <w:pBdr/>
        <w:spacing/>
        <w:ind/>
        <w:rPr/>
      </w:pPr>
      <w:r>
        <w:rPr>
          <w:b/>
          <w:bCs/>
        </w:rPr>
        <w:t xml:space="preserve">Inputs:</w:t>
      </w:r>
      <w:r>
        <w:t xml:space="preserve"> </w:t>
      </w:r>
      <w:r>
        <w:rPr>
          <w:rStyle w:val="749"/>
        </w:rPr>
        <w:t xml:space="preserve">(organizationId, channel)</w:t>
      </w:r>
      <w:r>
        <w:t xml:space="preserve"> </w:t>
      </w:r>
      <w:r>
        <w:t xml:space="preserve">→ ordered provider chain; per message a</w:t>
      </w:r>
      <w:r>
        <w:t xml:space="preserve"> </w:t>
      </w:r>
      <w:r>
        <w:rPr>
          <w:rStyle w:val="749"/>
        </w:rPr>
        <w:t xml:space="preserve">ProviderSendRequest</w:t>
      </w:r>
      <w:r>
        <w:t xml:space="preserve"> </w:t>
      </w:r>
      <w:r>
        <w:t xml:space="preserve">(recipient, rendered body/subject, sender, idempotency key).</w:t>
      </w:r>
      <w:r/>
    </w:p>
    <w:p>
      <w:pPr>
        <w:pStyle w:val="708"/>
        <w:numPr>
          <w:ilvl w:val="0"/>
          <w:numId w:val="8"/>
        </w:numPr>
        <w:pBdr/>
        <w:spacing/>
        <w:ind/>
        <w:rPr/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749"/>
        </w:rPr>
        <w:t xml:space="preserve">SendResult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749"/>
        </w:rPr>
        <w:t xml:space="preserve">Ok(providerMessageId)</w:t>
      </w:r>
      <w:r>
        <w:t xml:space="preserve"> </w:t>
      </w:r>
      <w:r>
        <w:t xml:space="preserve">|</w:t>
      </w:r>
      <w:r>
        <w:t xml:space="preserve"> </w:t>
      </w:r>
      <w:r>
        <w:rPr>
          <w:rStyle w:val="749"/>
        </w:rPr>
        <w:t xml:space="preserve">TransientFailure</w:t>
      </w:r>
      <w:r>
        <w:t xml:space="preserve"> </w:t>
      </w:r>
      <w:r>
        <w:t xml:space="preserve">(→ next provider) |</w:t>
      </w:r>
      <w:r>
        <w:t xml:space="preserve"> </w:t>
      </w:r>
      <w:r>
        <w:rPr>
          <w:rStyle w:val="749"/>
        </w:rPr>
        <w:t xml:space="preserve">Rejected</w:t>
      </w:r>
      <w:r>
        <w:t xml:space="preserve"> </w:t>
      </w:r>
      <w:r>
        <w:t xml:space="preserve">(terminal).</w:t>
      </w:r>
      <w:r/>
    </w:p>
    <w:p>
      <w:pPr>
        <w:pStyle w:val="708"/>
        <w:numPr>
          <w:ilvl w:val="0"/>
          <w:numId w:val="8"/>
        </w:numPr>
        <w:pBdr/>
        <w:spacing/>
        <w:ind/>
        <w:rPr/>
      </w:pPr>
      <w:r>
        <w:rPr>
          <w:b/>
          <w:bCs/>
        </w:rPr>
        <w:t xml:space="preserve">Dependencies:</w:t>
      </w:r>
      <w:r>
        <w:t xml:space="preserve"> </w:t>
      </w:r>
      <w:r>
        <w:rPr>
          <w:rStyle w:val="749"/>
        </w:rPr>
        <w:t xml:space="preserve">ProviderConfigurations</w:t>
      </w:r>
      <w:r>
        <w:t xml:space="preserve"> </w:t>
      </w:r>
      <w:r>
        <w:t xml:space="preserve">table,</w:t>
      </w:r>
      <w:r>
        <w:t xml:space="preserve"> </w:t>
      </w:r>
      <w:r>
        <w:rPr>
          <w:rStyle w:val="749"/>
        </w:rPr>
        <w:t xml:space="preserve">ICredentialProtector</w:t>
      </w:r>
      <w:r>
        <w:t xml:space="preserve"> </w:t>
      </w:r>
      <w:r>
        <w:t xml:space="preserve">(decryption), DI-registered</w:t>
      </w:r>
      <w:r>
        <w:t xml:space="preserve"> </w:t>
      </w:r>
      <w:r>
        <w:rPr>
          <w:rStyle w:val="749"/>
        </w:rPr>
        <w:t xml:space="preserve">IChannelProvider</w:t>
      </w:r>
      <w:r>
        <w:t xml:space="preserve"> </w:t>
      </w:r>
      <w:r>
        <w:t xml:space="preserve">set.</w:t>
      </w:r>
      <w:r/>
    </w:p>
    <w:p>
      <w:pPr>
        <w:pStyle w:val="708"/>
        <w:numPr>
          <w:ilvl w:val="0"/>
          <w:numId w:val="8"/>
        </w:numPr>
        <w:pBdr/>
        <w:spacing/>
        <w:ind/>
        <w:rPr/>
      </w:pPr>
      <w:r>
        <w:rPr>
          <w:b/>
          <w:bCs/>
        </w:rPr>
        <w:t xml:space="preserve">Flow:</w:t>
      </w:r>
      <w:r>
        <w:t xml:space="preserve"> </w:t>
      </w:r>
      <w:r>
        <w:t xml:space="preserve">registry indexes providers by</w:t>
      </w:r>
      <w:r>
        <w:t xml:space="preserve"> </w:t>
      </w:r>
      <w:r>
        <w:rPr>
          <w:rStyle w:val="749"/>
        </w:rPr>
        <w:t xml:space="preserve">(Channel, ProviderKey)</w:t>
      </w:r>
      <w:r>
        <w:t xml:space="preserve"> </w:t>
      </w:r>
      <w:r>
        <w:t xml:space="preserve">→ selector loads enabled configs by priority and decrypts credentials →</w:t>
      </w:r>
      <w:r>
        <w:t xml:space="preserve"> </w:t>
      </w:r>
      <w:r>
        <w:rPr>
          <w:rStyle w:val="749"/>
        </w:rPr>
        <w:t xml:space="preserve">FailoverSender</w:t>
      </w:r>
      <w:r>
        <w:t xml:space="preserve"> </w:t>
      </w:r>
      <w:r>
        <w:t xml:space="preserve">walks the chain; exceptions are treated as transient.</w:t>
      </w:r>
      <w:bookmarkEnd w:id="25"/>
      <w:r/>
    </w:p>
    <w:p>
      <w:pPr>
        <w:pStyle w:val="719"/>
        <w:pBdr/>
        <w:spacing/>
        <w:ind/>
        <w:rPr/>
      </w:pPr>
      <w:r/>
      <w:bookmarkStart w:id="26" w:name="webhook-ingestion-api-webhookscontroller"/>
      <w:r>
        <w:t xml:space="preserve">4.4 Webhook Ingestion (Api:</w:t>
      </w:r>
      <w:r>
        <w:t xml:space="preserve"> </w:t>
      </w:r>
      <w:r>
        <w:rPr>
          <w:rStyle w:val="749"/>
        </w:rPr>
        <w:t xml:space="preserve">WebhooksController</w:t>
      </w:r>
      <w:r>
        <w:t xml:space="preserve">)</w:t>
      </w:r>
      <w:r/>
    </w:p>
    <w:p>
      <w:pPr>
        <w:pStyle w:val="708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provider delivery reports to messages.</w:t>
      </w:r>
      <w:r/>
    </w:p>
    <w:p>
      <w:pPr>
        <w:pStyle w:val="708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Inputs:</w:t>
      </w:r>
      <w:r>
        <w:t xml:space="preserve"> </w:t>
      </w:r>
      <w:r>
        <w:rPr>
          <w:rStyle w:val="749"/>
        </w:rPr>
        <w:t xml:space="preserve">POST /api/webhooks/{providerKey}</w:t>
      </w:r>
      <w:r>
        <w:t xml:space="preserve"> </w:t>
      </w:r>
      <w:r>
        <w:t xml:space="preserve">+</w:t>
      </w:r>
      <w:r>
        <w:t xml:space="preserve"> </w:t>
      </w:r>
      <w:r>
        <w:rPr>
          <w:rStyle w:val="749"/>
        </w:rPr>
        <w:t xml:space="preserve">X-Webhook-Secret</w:t>
      </w:r>
      <w:r>
        <w:t xml:space="preserve"> </w:t>
      </w:r>
      <w:r>
        <w:t xml:space="preserve">header +</w:t>
      </w:r>
      <w:r>
        <w:t xml:space="preserve"> </w:t>
      </w:r>
      <w:r>
        <w:rPr>
          <w:rStyle w:val="749"/>
        </w:rPr>
        <w:t xml:space="preserve">{providerMessageId, status, detail?, occurredAtUtc?}</w:t>
      </w:r>
      <w:r>
        <w:t xml:space="preserve">.</w:t>
      </w:r>
      <w:r/>
    </w:p>
    <w:p>
      <w:pPr>
        <w:pStyle w:val="708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Outputs:</w:t>
      </w:r>
      <w:r>
        <w:t xml:space="preserve"> </w:t>
      </w:r>
      <w:r>
        <w:t xml:space="preserve">monotonic message status update + DeliveryEvent row.</w:t>
      </w:r>
      <w:r/>
    </w:p>
    <w:p>
      <w:pPr>
        <w:pStyle w:val="708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Dependencies:</w:t>
      </w:r>
      <w:r>
        <w:t xml:space="preserve"> </w:t>
      </w:r>
      <w:r>
        <w:t xml:space="preserve">filtered index on</w:t>
      </w:r>
      <w:r>
        <w:t xml:space="preserve"> </w:t>
      </w:r>
      <w:r>
        <w:rPr>
          <w:rStyle w:val="749"/>
        </w:rPr>
        <w:t xml:space="preserve">Messages.ProviderMessageId</w:t>
      </w:r>
      <w:r>
        <w:t xml:space="preserve">; provider configuration’s</w:t>
      </w:r>
      <w:r>
        <w:t xml:space="preserve"> </w:t>
      </w:r>
      <w:r>
        <w:rPr>
          <w:rStyle w:val="749"/>
        </w:rPr>
        <w:t xml:space="preserve">WebhookSecret</w:t>
      </w:r>
      <w:r>
        <w:t xml:space="preserve"> </w:t>
      </w:r>
      <w:r>
        <w:t xml:space="preserve">(constant-time compare).</w:t>
      </w:r>
      <w:r/>
    </w:p>
    <w:p>
      <w:pPr>
        <w:pStyle w:val="708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Flow:</w:t>
      </w:r>
      <w:r>
        <w:t xml:space="preserve"> </w:t>
      </w:r>
      <w:r>
        <w:t xml:space="preserve">find message by provider id → verify secret → parse status → apply only if it advances the state machine (late</w:t>
      </w:r>
      <w:r>
        <w:t xml:space="preserve"> </w:t>
      </w:r>
      <w:r>
        <w:t xml:space="preserve">“Sent”</w:t>
      </w:r>
      <w:r>
        <w:t xml:space="preserve"> </w:t>
      </w:r>
      <w:r>
        <w:t xml:space="preserve">after</w:t>
      </w:r>
      <w:r>
        <w:t xml:space="preserve"> </w:t>
      </w:r>
      <w:r>
        <w:t xml:space="preserve">“Delivered”</w:t>
      </w:r>
      <w:r>
        <w:t xml:space="preserve"> </w:t>
      </w:r>
      <w:r>
        <w:t xml:space="preserve">is ignored; Failed/Expired accepted from any non-terminal state).</w:t>
      </w:r>
      <w:bookmarkEnd w:id="26"/>
      <w:r/>
    </w:p>
    <w:p>
      <w:pPr>
        <w:pStyle w:val="719"/>
        <w:pBdr/>
        <w:spacing/>
        <w:ind/>
        <w:rPr/>
      </w:pPr>
      <w:r/>
      <w:bookmarkStart w:id="27" w:name="identity-tenancy-infrastructure"/>
      <w:r>
        <w:t xml:space="preserve">4.5 Identity &amp; Tenancy (Infrastructure)</w:t>
      </w:r>
      <w:r/>
    </w:p>
    <w:p>
      <w:pPr>
        <w:pStyle w:val="708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three principal types and establish the ambient organization.</w:t>
      </w:r>
      <w:r/>
    </w:p>
    <w:p>
      <w:pPr>
        <w:pStyle w:val="708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Inputs:</w:t>
      </w:r>
      <w:r>
        <w:t xml:space="preserve"> </w:t>
      </w:r>
      <w:r>
        <w:t xml:space="preserve">credentials/token/API key/cookie.</w:t>
      </w:r>
      <w:r/>
    </w:p>
    <w:p>
      <w:pPr>
        <w:pStyle w:val="708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Outputs:</w:t>
      </w:r>
      <w:r>
        <w:t xml:space="preserve"> </w:t>
      </w:r>
      <w:r>
        <w:rPr>
          <w:rStyle w:val="749"/>
        </w:rPr>
        <w:t xml:space="preserve">ClaimsPrincipal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749"/>
        </w:rPr>
        <w:t xml:space="preserve">org</w:t>
      </w:r>
      <w:r>
        <w:t xml:space="preserve"> </w:t>
      </w:r>
      <w:r>
        <w:t xml:space="preserve">claim → scoped</w:t>
      </w:r>
      <w:r>
        <w:t xml:space="preserve"> </w:t>
      </w:r>
      <w:r>
        <w:rPr>
          <w:rStyle w:val="749"/>
        </w:rPr>
        <w:t xml:space="preserve">CurrentTenant</w:t>
      </w:r>
      <w:r>
        <w:t xml:space="preserve"> </w:t>
      </w:r>
      <w:r>
        <w:t xml:space="preserve">→ EF global query filters.</w:t>
      </w:r>
      <w:r/>
    </w:p>
    <w:p>
      <w:pPr>
        <w:pStyle w:val="708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Dependencies:</w:t>
      </w:r>
      <w:r>
        <w:t xml:space="preserve"> </w:t>
      </w:r>
      <w:r>
        <w:t xml:space="preserve">ASP.NET Identity stores,</w:t>
      </w:r>
      <w:r>
        <w:t xml:space="preserve"> </w:t>
      </w:r>
      <w:r>
        <w:rPr>
          <w:rStyle w:val="749"/>
        </w:rPr>
        <w:t xml:space="preserve">JwtTokenService</w:t>
      </w:r>
      <w:r>
        <w:t xml:space="preserve">,</w:t>
      </w:r>
      <w:r>
        <w:t xml:space="preserve"> </w:t>
      </w:r>
      <w:r>
        <w:rPr>
          <w:rStyle w:val="749"/>
        </w:rPr>
        <w:t xml:space="preserve">ApiKeyAuthenticationHandler</w:t>
      </w:r>
      <w:r>
        <w:t xml:space="preserve">, claims principal factory (Admin UI).</w:t>
      </w:r>
      <w:r/>
    </w:p>
    <w:p>
      <w:pPr>
        <w:pStyle w:val="708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Flow:</w:t>
      </w:r>
      <w:r>
        <w:t xml:space="preserve"> </w:t>
      </w:r>
      <w:r>
        <w:t xml:space="preserve">authenticate → tenant middleware parses</w:t>
      </w:r>
      <w:r>
        <w:t xml:space="preserve"> </w:t>
      </w:r>
      <w:r>
        <w:rPr>
          <w:rStyle w:val="749"/>
        </w:rPr>
        <w:t xml:space="preserve">org</w:t>
      </w:r>
      <w:r>
        <w:t xml:space="preserve"> </w:t>
      </w:r>
      <w:r>
        <w:t xml:space="preserve">claim →</w:t>
      </w:r>
      <w:r>
        <w:t xml:space="preserve"> </w:t>
      </w:r>
      <w:r>
        <w:rPr>
          <w:rStyle w:val="749"/>
        </w:rPr>
        <w:t xml:space="preserve">ITenantSetter.Set</w:t>
      </w:r>
      <w:r>
        <w:t xml:space="preserve"> </w:t>
      </w:r>
      <w:r>
        <w:t xml:space="preserve">→ all queries automatically tenant-scoped. Background jobs set tenant from job arguments instead.</w:t>
      </w:r>
      <w:bookmarkEnd w:id="27"/>
      <w:r/>
    </w:p>
    <w:p>
      <w:pPr>
        <w:pStyle w:val="719"/>
        <w:pBdr/>
        <w:spacing/>
        <w:ind/>
        <w:rPr/>
      </w:pPr>
      <w:r/>
      <w:bookmarkStart w:id="28" w:name="admin-ui-mvc"/>
      <w:r>
        <w:t xml:space="preserve">4.6 Admin UI (MVC)</w:t>
      </w:r>
      <w:r/>
    </w:p>
    <w:p>
      <w:pPr>
        <w:pStyle w:val="708"/>
        <w:numPr>
          <w:ilvl w:val="0"/>
          <w:numId w:val="11"/>
        </w:numPr>
        <w:pBdr/>
        <w:spacing/>
        <w:ind/>
        <w:rPr/>
      </w:pPr>
      <w:r>
        <w:rPr>
          <w:b/>
          <w:bCs/>
        </w:rPr>
        <w:t xml:space="preserve">Purpose:</w:t>
      </w:r>
      <w:r>
        <w:t xml:space="preserve"> </w:t>
      </w:r>
      <w:r>
        <w:t xml:space="preserve">human monitoring and (Phase 2) administration.</w:t>
      </w:r>
      <w:r/>
    </w:p>
    <w:p>
      <w:pPr>
        <w:pStyle w:val="708"/>
        <w:numPr>
          <w:ilvl w:val="0"/>
          <w:numId w:val="11"/>
        </w:numPr>
        <w:pBdr/>
        <w:spacing/>
        <w:ind/>
        <w:rPr/>
      </w:pPr>
      <w:r>
        <w:rPr>
          <w:b/>
          <w:bCs/>
        </w:rPr>
        <w:t xml:space="preserve">Inputs:</w:t>
      </w:r>
      <w:r>
        <w:t xml:space="preserve"> </w:t>
      </w:r>
      <w:r>
        <w:t xml:space="preserve">cookie session;</w:t>
      </w:r>
      <w:r>
        <w:t xml:space="preserve"> </w:t>
      </w:r>
      <w:r>
        <w:rPr>
          <w:b/>
          <w:bCs/>
        </w:rPr>
        <w:t xml:space="preserve">Outputs:</w:t>
      </w:r>
      <w:r>
        <w:t xml:space="preserve"> </w:t>
      </w:r>
      <w:r>
        <w:t xml:space="preserve">campaign list/detail pages, delivery-status donut + counts table.</w:t>
      </w:r>
      <w:r/>
    </w:p>
    <w:p>
      <w:pPr>
        <w:pStyle w:val="708"/>
        <w:numPr>
          <w:ilvl w:val="0"/>
          <w:numId w:val="11"/>
        </w:numPr>
        <w:pBdr/>
        <w:spacing/>
        <w:ind/>
        <w:rPr/>
      </w:pPr>
      <w:r>
        <w:rPr>
          <w:b/>
          <w:bCs/>
        </w:rPr>
        <w:t xml:space="preserve">Dependencies:</w:t>
      </w:r>
      <w:r>
        <w:t xml:space="preserve"> </w:t>
      </w:r>
      <w:r>
        <w:t xml:space="preserve">the same Application queries as the API (no duplicated logic).</w:t>
      </w:r>
      <w:bookmarkEnd w:id="28"/>
      <w:bookmarkEnd w:id="29"/>
      <w:r/>
    </w:p>
    <w:p>
      <w:pPr>
        <w:pStyle w:val="718"/>
        <w:pBdr/>
        <w:spacing/>
        <w:ind/>
        <w:rPr/>
      </w:pPr>
      <w:r/>
      <w:bookmarkStart w:id="34" w:name="database-design"/>
      <w:r>
        <w:t xml:space="preserve">5. Database Design</w:t>
      </w:r>
      <w:r/>
    </w:p>
    <w:p>
      <w:pPr>
        <w:pStyle w:val="719"/>
        <w:pBdr/>
        <w:spacing/>
        <w:ind/>
        <w:rPr/>
      </w:pPr>
      <w:r/>
      <w:bookmarkStart w:id="30" w:name="er-diagram"/>
      <w:r>
        <w:t xml:space="preserve">5.1 ER Diagram</w:t>
      </w:r>
      <w:r/>
    </w:p>
    <w:p w14:paraId="662A2772">
      <w:pPr>
        <w:pStyle w:val="719"/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b/>
          <w:bCs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322368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83033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000" cy="32236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2pt;height:253.8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>
      <w:pPr>
        <w:pStyle w:val="719"/>
        <w:pBdr/>
        <w:spacing/>
        <w:ind/>
        <w:rPr>
          <w:highlight w:val="none"/>
        </w:rPr>
      </w:pPr>
      <w:r/>
      <w:bookmarkStart w:id="31" w:name="schema-design"/>
      <w:r>
        <w:t xml:space="preserve">5.2 Schema Design</w:t>
      </w:r>
      <w:r/>
    </w:p>
    <w:p>
      <w:pPr>
        <w:pStyle w:val="707"/>
        <w:pBdr/>
        <w:spacing/>
        <w:ind/>
        <w:rPr/>
      </w:pPr>
      <w:r>
        <w:t xml:space="preserve">High-volume tables (</w:t>
      </w:r>
      <w:r>
        <w:rPr>
          <w:rStyle w:val="749"/>
        </w:rPr>
        <w:t xml:space="preserve">Messages</w:t>
      </w:r>
      <w:r>
        <w:t xml:space="preserve">,</w:t>
      </w:r>
      <w:r>
        <w:t xml:space="preserve"> </w:t>
      </w:r>
      <w:r>
        <w:rPr>
          <w:rStyle w:val="749"/>
        </w:rPr>
        <w:t xml:space="preserve">CampaignRecipients</w:t>
      </w:r>
      <w:r>
        <w:t xml:space="preserve">,</w:t>
      </w:r>
      <w:r>
        <w:t xml:space="preserve"> </w:t>
      </w:r>
      <w:r>
        <w:rPr>
          <w:rStyle w:val="749"/>
        </w:rPr>
        <w:t xml:space="preserve">DeliveryEvents</w:t>
      </w:r>
      <w:r>
        <w:t xml:space="preserve">,</w:t>
      </w:r>
      <w:r>
        <w:t xml:space="preserve"> </w:t>
      </w:r>
      <w:r>
        <w:rPr>
          <w:rStyle w:val="749"/>
        </w:rPr>
        <w:t xml:space="preserve">AuditLogs</w:t>
      </w:r>
      <w:r>
        <w:t xml:space="preserve">) use append-friendly</w:t>
      </w:r>
      <w:r>
        <w:t xml:space="preserve"> </w:t>
      </w:r>
      <w:r>
        <w:rPr>
          <w:b/>
          <w:bCs/>
        </w:rPr>
        <w:t xml:space="preserve">bigint identity clustered PKs</w:t>
      </w:r>
      <w:r>
        <w:t xml:space="preserve">;</w:t>
      </w:r>
      <w:r>
        <w:t xml:space="preserve"> </w:t>
      </w:r>
      <w:r>
        <w:rPr>
          <w:rStyle w:val="749"/>
        </w:rPr>
        <w:t xml:space="preserve">Messages.PublicId</w:t>
      </w:r>
      <w:r>
        <w:t xml:space="preserve"> </w:t>
      </w:r>
      <w:r>
        <w:t xml:space="preserve">(unique GUID) is the external correlation id. Every tenant-owned table carries</w:t>
      </w:r>
      <w:r>
        <w:t xml:space="preserve"> </w:t>
      </w:r>
      <w:r>
        <w:rPr>
          <w:rStyle w:val="749"/>
        </w:rPr>
        <w:t xml:space="preserve">OrganizationId</w:t>
      </w:r>
      <w:r>
        <w:t xml:space="preserve">.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Table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Key fields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Organizations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 (guid PK), Name, Slug (unique), IsActive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 (guid PK), TrackingId</w:t>
            </w:r>
            <w:r>
              <w:t xml:space="preserve"> </w:t>
            </w:r>
            <w:r>
              <w:rPr>
                <w:rStyle w:val="749"/>
              </w:rPr>
              <w:t xml:space="preserve">CMP-…</w:t>
            </w:r>
            <w:r>
              <w:t xml:space="preserve"> </w:t>
            </w:r>
            <w:r>
              <w:t xml:space="preserve">(un</w:t>
            </w:r>
            <w:r>
              <w:t xml:space="preserve">ique), Channel, Status, Sender, Subject?, MessageBody?, TemplateId?, ScheduledAtUtc?, ScheduledJobId?, Priority, TagsJson, MetadataJson, CallbackUrl?, TotalRecipients, SentCount, DeliveredCount, FailedCount, CreatedBy/At, Started/CompletedAtUtc, RowVersion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CampaignRecipients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 (bigint PK), CampaignId, Address (320), PersonalizationJson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Messages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 (bigint PK), PublicId (guid, unique), CampaignId, RecipientId, Channel, Status, ProviderConfigurationId?, ProviderMessageId?, AttemptCount, LastError (1024), QueuedAt/SentAt/DeliveredAt/UpdatedAtUtc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DeliveryEvents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 (bigint PK), MessageId, Status, Detail, ProviderRawPayload, OccurredAtUtc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ProviderConfigurations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Id, Channel, ProviderKey, Name, Priority, IsEnabled, EncryptedCredentials (varbinary), SettingsJson, WebhookSecret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MessageTemplates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Id, Name, Channel, Subject?, Body, IsActive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ApiKeys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Id, Name, KeyHash (SHA-256), KeyPrefix (12), ExpiresAt?, RevokedAt?, LastUsedAt?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AuditLogs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Id, UserId?, Action, EntityType, EntityId, IpAddress, OldValuesJson, NewValuesJson, TimestampUtc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AspNetUsers/Roles/…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Identity tables; AppUser adds OrganizationId, DisplayName</w:t>
            </w:r>
            <w:r/>
          </w:p>
        </w:tc>
      </w:tr>
    </w:tbl>
    <w:p>
      <w:pPr>
        <w:pStyle w:val="706"/>
        <w:pBdr/>
        <w:spacing/>
        <w:ind/>
        <w:rPr/>
      </w:pPr>
      <w:r>
        <w:t xml:space="preserve">Rendered message bodies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 per message (recomputable), keeping rows narrow at millions scale.</w:t>
      </w:r>
      <w:bookmarkEnd w:id="31"/>
      <w:r/>
    </w:p>
    <w:p>
      <w:pPr>
        <w:pStyle w:val="719"/>
        <w:pBdr/>
        <w:spacing/>
        <w:ind/>
        <w:rPr/>
      </w:pPr>
      <w:r/>
      <w:bookmarkStart w:id="32" w:name="indexes"/>
      <w:r>
        <w:t xml:space="preserve">5.3 Indexes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Index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Purpose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Campaigns</w:t>
            </w:r>
            <w:r>
              <w:t xml:space="preserve"> </w:t>
            </w:r>
            <w:r>
              <w:rPr>
                <w:rStyle w:val="749"/>
              </w:rPr>
              <w:t xml:space="preserve">UX(TrackingId)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tracking lookups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Campaigns</w:t>
            </w:r>
            <w:r>
              <w:t xml:space="preserve"> </w:t>
            </w:r>
            <w:r>
              <w:rPr>
                <w:rStyle w:val="749"/>
              </w:rPr>
              <w:t xml:space="preserve">(OrganizationId, Status, CreatedAtUtc DESC)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list/search pages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CampaignRecipients</w:t>
            </w:r>
            <w:r>
              <w:t xml:space="preserve"> </w:t>
            </w:r>
            <w:r>
              <w:rPr>
                <w:rStyle w:val="749"/>
              </w:rPr>
              <w:t xml:space="preserve">(CampaignId, Id)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keyset batch reads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Messages</w:t>
            </w:r>
            <w:r>
              <w:t xml:space="preserve"> </w:t>
            </w:r>
            <w:r>
              <w:rPr>
                <w:rStyle w:val="749"/>
              </w:rPr>
              <w:t xml:space="preserve">UX(PublicId)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external correlation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Messages</w:t>
            </w:r>
            <w:r>
              <w:t xml:space="preserve"> </w:t>
            </w:r>
            <w:r>
              <w:rPr>
                <w:rStyle w:val="749"/>
              </w:rPr>
              <w:t xml:space="preserve">(CampaignId, Status)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dispatch fan-out, progress statistics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Messages</w:t>
            </w:r>
            <w:r>
              <w:t xml:space="preserve"> </w:t>
            </w:r>
            <w:r>
              <w:rPr>
                <w:rStyle w:val="749"/>
              </w:rPr>
              <w:t xml:space="preserve">(OrganizationId, QueuedAtUtc)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tenant reporting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Messages</w:t>
            </w:r>
            <w:r>
              <w:t xml:space="preserve"> </w:t>
            </w:r>
            <w:r>
              <w:rPr>
                <w:rStyle w:val="749"/>
              </w:rPr>
              <w:t xml:space="preserve">(ProviderMessageId)</w:t>
            </w:r>
            <w:r>
              <w:t xml:space="preserve"> </w:t>
            </w:r>
            <w:r>
              <w:t xml:space="preserve">filtered</w:t>
            </w:r>
            <w:r>
              <w:t xml:space="preserve"> </w:t>
            </w:r>
            <w:r>
              <w:rPr>
                <w:rStyle w:val="749"/>
              </w:rPr>
              <w:t xml:space="preserve">IS NOT NULL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b/>
                <w:bCs/>
              </w:rPr>
              <w:t xml:space="preserve">webhook hot path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DeliveryEvents</w:t>
            </w:r>
            <w:r>
              <w:t xml:space="preserve"> </w:t>
            </w:r>
            <w:r>
              <w:rPr>
                <w:rStyle w:val="749"/>
              </w:rPr>
              <w:t xml:space="preserve">(MessageId)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delivery timeline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ApiKeys</w:t>
            </w:r>
            <w:r>
              <w:t xml:space="preserve"> </w:t>
            </w:r>
            <w:r>
              <w:rPr>
                <w:rStyle w:val="749"/>
              </w:rPr>
              <w:t xml:space="preserve">(KeyPrefix)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authentication lookup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AuditLogs</w:t>
            </w:r>
            <w:r>
              <w:t xml:space="preserve"> </w:t>
            </w:r>
            <w:r>
              <w:rPr>
                <w:rStyle w:val="749"/>
              </w:rPr>
              <w:t xml:space="preserve">(OrganizationId, TimestampUtc)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audit search</w:t>
            </w:r>
            <w:bookmarkEnd w:id="32"/>
            <w:r/>
          </w:p>
        </w:tc>
      </w:tr>
    </w:tbl>
    <w:p>
      <w:pPr>
        <w:pStyle w:val="719"/>
        <w:pBdr/>
        <w:spacing/>
        <w:ind/>
        <w:rPr/>
      </w:pPr>
      <w:r/>
      <w:bookmarkStart w:id="33" w:name="transactions"/>
      <w:r>
        <w:t xml:space="preserve">5.4 Transactions</w:t>
      </w:r>
      <w:r/>
    </w:p>
    <w:p>
      <w:pPr>
        <w:pStyle w:val="708"/>
        <w:numPr>
          <w:ilvl w:val="0"/>
          <w:numId w:val="12"/>
        </w:numPr>
        <w:pBdr/>
        <w:spacing/>
        <w:ind/>
        <w:rPr/>
      </w:pPr>
      <w:r>
        <w:t xml:space="preserve">Campaign creation commits in chunks (campaign → recipients+messages per 1 000) — a mid-import failure leaves a Draft campaign without a dispatch job; no partial sends can occur because dispatch is enqueued last.</w:t>
      </w:r>
      <w:r/>
    </w:p>
    <w:p>
      <w:pPr>
        <w:pStyle w:val="708"/>
        <w:numPr>
          <w:ilvl w:val="0"/>
          <w:numId w:val="12"/>
        </w:numPr>
        <w:pBdr/>
        <w:spacing/>
        <w:ind/>
        <w:rPr/>
      </w:pPr>
      <w:r>
        <w:t xml:space="preserve">Status transitions on</w:t>
      </w:r>
      <w:r>
        <w:t xml:space="preserve"> </w:t>
      </w:r>
      <w:r>
        <w:rPr>
          <w:rStyle w:val="749"/>
        </w:rPr>
        <w:t xml:space="preserve">Campaigns</w:t>
      </w:r>
      <w:r>
        <w:t xml:space="preserve"> </w:t>
      </w:r>
      <w:r>
        <w:t xml:space="preserve">use</w:t>
      </w:r>
      <w:r>
        <w:t xml:space="preserve"> </w:t>
      </w:r>
      <w:r>
        <w:rPr>
          <w:rStyle w:val="749"/>
        </w:rPr>
        <w:t xml:space="preserve">RowVersion</w:t>
      </w:r>
      <w:r>
        <w:t xml:space="preserve"> </w:t>
      </w:r>
      <w:r>
        <w:t xml:space="preserve">optimistic concurrency; the batch jobs use single-statement</w:t>
      </w:r>
      <w:r>
        <w:t xml:space="preserve"> </w:t>
      </w:r>
      <w:r>
        <w:rPr>
          <w:rStyle w:val="749"/>
        </w:rPr>
        <w:t xml:space="preserve">ExecuteUpdate</w:t>
      </w:r>
      <w:r>
        <w:t xml:space="preserve"> </w:t>
      </w:r>
      <w:r>
        <w:t xml:space="preserve">for bulk expiry.</w:t>
      </w:r>
      <w:r/>
    </w:p>
    <w:p>
      <w:pPr>
        <w:pStyle w:val="708"/>
        <w:numPr>
          <w:ilvl w:val="0"/>
          <w:numId w:val="12"/>
        </w:numPr>
        <w:pBdr/>
        <w:spacing/>
        <w:ind/>
        <w:rPr/>
      </w:pPr>
      <w:r>
        <w:t xml:space="preserve">Job send loops save every 50 messages — bounding both the crash-loss window and the double-send window (see Section 12, Risk 2).</w:t>
      </w:r>
      <w:r/>
    </w:p>
    <w:p>
      <w:pPr>
        <w:pStyle w:val="708"/>
        <w:numPr>
          <w:ilvl w:val="0"/>
          <w:numId w:val="12"/>
        </w:numPr>
        <w:pBdr/>
        <w:spacing/>
        <w:ind/>
        <w:rPr/>
      </w:pPr>
      <w:r>
        <w:t xml:space="preserve">Denormalized campaign counters are written once by the finalizer job, eliminating counter contention between parallel batches.</w:t>
      </w:r>
      <w:r/>
    </w:p>
    <w:p>
      <w:pPr>
        <w:pStyle w:val="708"/>
        <w:numPr>
          <w:ilvl w:val="0"/>
          <w:numId w:val="12"/>
        </w:numPr>
        <w:pBdr/>
        <w:spacing/>
        <w:ind/>
        <w:rPr/>
      </w:pPr>
      <w:r>
        <w:t xml:space="preserve">Growth plan: monthly partitioning of</w:t>
      </w:r>
      <w:r>
        <w:t xml:space="preserve"> </w:t>
      </w:r>
      <w:r>
        <w:rPr>
          <w:rStyle w:val="749"/>
        </w:rPr>
        <w:t xml:space="preserve">Messages</w:t>
      </w:r>
      <w:r>
        <w:t xml:space="preserve">/</w:t>
      </w:r>
      <w:r>
        <w:rPr>
          <w:rStyle w:val="749"/>
        </w:rPr>
        <w:t xml:space="preserve">DeliveryEvents</w:t>
      </w:r>
      <w:r>
        <w:t xml:space="preserve"> </w:t>
      </w:r>
      <w:r>
        <w:t xml:space="preserve">with sliding-window archival; until then, retention via batched deletes by id range.</w:t>
      </w:r>
      <w:bookmarkEnd w:id="33"/>
      <w:bookmarkEnd w:id="34"/>
      <w:r/>
    </w:p>
    <w:p>
      <w:pPr>
        <w:pStyle w:val="718"/>
        <w:pBdr/>
        <w:spacing/>
        <w:ind/>
        <w:rPr/>
      </w:pPr>
      <w:r/>
      <w:bookmarkStart w:id="39" w:name="api-design"/>
      <w:r>
        <w:t xml:space="preserve">6. API Design</w:t>
      </w:r>
      <w:r/>
    </w:p>
    <w:p>
      <w:pPr>
        <w:pStyle w:val="707"/>
        <w:pBdr/>
        <w:spacing/>
        <w:ind/>
        <w:rPr/>
      </w:pPr>
      <w:r>
        <w:t xml:space="preserve">Conventions: REST, kebab/lowercase URLs, JSON bodies, RFC 7807 ProblemDetails errors, Swagger at</w:t>
      </w:r>
      <w:r>
        <w:t xml:space="preserve"> </w:t>
      </w:r>
      <w:r>
        <w:rPr>
          <w:rStyle w:val="749"/>
        </w:rPr>
        <w:t xml:space="preserve">/swagger</w:t>
      </w:r>
      <w:r>
        <w:t xml:space="preserve">. Authentication per request:</w:t>
      </w:r>
      <w:r>
        <w:t xml:space="preserve"> </w:t>
      </w:r>
      <w:r>
        <w:rPr>
          <w:rStyle w:val="749"/>
        </w:rPr>
        <w:t xml:space="preserve">Authorization: Bearer &lt;jwt&gt;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749"/>
        </w:rPr>
        <w:t xml:space="preserve">X-Api-Key</w:t>
      </w:r>
      <w:r>
        <w:t xml:space="preserve">.</w:t>
      </w:r>
      <w:r/>
    </w:p>
    <w:p>
      <w:pPr>
        <w:pStyle w:val="719"/>
        <w:pBdr/>
        <w:spacing/>
        <w:ind/>
        <w:rPr/>
      </w:pPr>
      <w:r/>
      <w:bookmarkStart w:id="35" w:name="endpoints"/>
      <w:r>
        <w:t xml:space="preserve">6.1 Endpoints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Method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URL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Auth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Purpose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/api/auth/token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anonymous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Issue JWT from email/password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/api/campaigns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ApiAccess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Submit campaign → 202 + ids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/api/campaigns/{campaignId}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ApiAccess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Status + statistics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/api/campaigns/by-tracking/{trackingId}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ApiAccess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Status by tracking id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/api/campaigns/{campaignId}/cancel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ApiAccess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Cancel (204/404/409)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/api/campaigns?search=&amp;status=&amp;channel=&amp;fromUtc=&amp;toUtc=&amp;page=&amp;pageSize=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ApiAccess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Paged search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/api/webhooks/{providerKey}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webhook secret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 delivery reports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/health/live</w:t>
            </w:r>
            <w:r>
              <w:t xml:space="preserve">,</w:t>
            </w:r>
            <w:r>
              <w:t xml:space="preserve"> </w:t>
            </w:r>
            <w:r>
              <w:rPr>
                <w:rStyle w:val="749"/>
              </w:rPr>
              <w:t xml:space="preserve">/health/ready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anonymous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Liveness / readiness</w:t>
            </w:r>
            <w:r/>
          </w:p>
        </w:tc>
      </w:tr>
    </w:tbl>
    <w:p>
      <w:pPr>
        <w:pStyle w:val="706"/>
        <w:pBdr/>
        <w:spacing/>
        <w:ind/>
        <w:rPr/>
      </w:pPr>
      <w:r>
        <w:t xml:space="preserve">Representative request/response pairs are specified in</w:t>
      </w:r>
      <w:r>
        <w:t xml:space="preserve"> </w:t>
      </w:r>
      <w:r>
        <w:rPr>
          <w:rStyle w:val="749"/>
        </w:rPr>
        <w:t xml:space="preserve">docs/03-api-spec.md</w:t>
      </w:r>
      <w:r>
        <w:t xml:space="preserve">; the create-campaign body carries name, channel, sender, subject (email), messageBody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templateId, recipients</w:t>
      </w:r>
      <w:r>
        <w:t xml:space="preserve"> </w:t>
      </w:r>
      <w:r>
        <w:rPr>
          <w:rStyle w:val="749"/>
        </w:rPr>
        <w:t xml:space="preserve">[{address, personalization{}}]</w:t>
      </w:r>
      <w:r>
        <w:t xml:space="preserve">, tags, metadata, priority, scheduledAtUtc, callbackUrl.</w:t>
      </w:r>
      <w:bookmarkEnd w:id="35"/>
      <w:r/>
    </w:p>
    <w:p>
      <w:pPr>
        <w:pStyle w:val="719"/>
        <w:pBdr/>
        <w:spacing/>
        <w:ind/>
        <w:rPr/>
      </w:pPr>
      <w:r/>
      <w:bookmarkStart w:id="36" w:name="authentication-authorization"/>
      <w:r>
        <w:t xml:space="preserve">6.2 Authentication &amp; Authorization</w:t>
      </w:r>
      <w:r/>
    </w:p>
    <w:p>
      <w:pPr>
        <w:pStyle w:val="708"/>
        <w:numPr>
          <w:ilvl w:val="0"/>
          <w:numId w:val="13"/>
        </w:numPr>
        <w:pBdr/>
        <w:spacing/>
        <w:ind/>
        <w:rPr/>
      </w:pPr>
      <w:r>
        <w:rPr>
          <w:b/>
          <w:bCs/>
        </w:rPr>
        <w:t xml:space="preserve">JWT</w:t>
      </w:r>
      <w:r>
        <w:t xml:space="preserve"> </w:t>
      </w:r>
      <w:r>
        <w:t xml:space="preserve">(users): HS256, 60-min lifetime, claims</w:t>
      </w:r>
      <w:r>
        <w:t xml:space="preserve"> </w:t>
      </w:r>
      <w:r>
        <w:rPr>
          <w:rStyle w:val="749"/>
        </w:rPr>
        <w:t xml:space="preserve">sub</w:t>
      </w:r>
      <w:r>
        <w:t xml:space="preserve">,</w:t>
      </w:r>
      <w:r>
        <w:t xml:space="preserve"> </w:t>
      </w:r>
      <w:r>
        <w:rPr>
          <w:rStyle w:val="749"/>
        </w:rPr>
        <w:t xml:space="preserve">email</w:t>
      </w:r>
      <w:r>
        <w:t xml:space="preserve">,</w:t>
      </w:r>
      <w:r>
        <w:t xml:space="preserve"> </w:t>
      </w:r>
      <w:r>
        <w:rPr>
          <w:rStyle w:val="749"/>
        </w:rPr>
        <w:t xml:space="preserve">org</w:t>
      </w:r>
      <w:r>
        <w:t xml:space="preserve">, roles.</w:t>
      </w:r>
      <w:r/>
    </w:p>
    <w:p>
      <w:pPr>
        <w:pStyle w:val="708"/>
        <w:numPr>
          <w:ilvl w:val="0"/>
          <w:numId w:val="13"/>
        </w:numPr>
        <w:pBdr/>
        <w:spacing/>
        <w:ind/>
        <w:rPr/>
      </w:pPr>
      <w:r>
        <w:rPr>
          <w:b/>
          <w:bCs/>
        </w:rPr>
        <w:t xml:space="preserve">API keys</w:t>
      </w:r>
      <w:r>
        <w:t xml:space="preserve"> </w:t>
      </w:r>
      <w:r>
        <w:t xml:space="preserve">(systems):</w:t>
      </w:r>
      <w:r>
        <w:t xml:space="preserve"> </w:t>
      </w:r>
      <w:r>
        <w:rPr>
          <w:rStyle w:val="749"/>
        </w:rPr>
        <w:t xml:space="preserve">cmk_…</w:t>
      </w:r>
      <w:r>
        <w:t xml:space="preserve">, stored as SHA-256 hash + indexed 12-char prefix; constant-time verification; expiry + revocation; role</w:t>
      </w:r>
      <w:r>
        <w:t xml:space="preserve"> </w:t>
      </w:r>
      <w:r>
        <w:rPr>
          <w:rStyle w:val="749"/>
        </w:rPr>
        <w:t xml:space="preserve">ApiClient</w:t>
      </w:r>
      <w:r>
        <w:t xml:space="preserve">.</w:t>
      </w:r>
      <w:r/>
    </w:p>
    <w:p>
      <w:pPr>
        <w:pStyle w:val="708"/>
        <w:numPr>
          <w:ilvl w:val="0"/>
          <w:numId w:val="13"/>
        </w:numPr>
        <w:pBdr/>
        <w:spacing/>
        <w:ind/>
        <w:rPr/>
      </w:pPr>
      <w:r>
        <w:rPr>
          <w:b/>
          <w:bCs/>
        </w:rPr>
        <w:t xml:space="preserve">Policy</w:t>
      </w:r>
      <w:r>
        <w:rPr>
          <w:b/>
          <w:bCs/>
        </w:rPr>
        <w:t xml:space="preserve"> </w:t>
      </w:r>
      <w:r>
        <w:rPr>
          <w:rStyle w:val="749"/>
          <w:b/>
          <w:bCs/>
        </w:rPr>
        <w:t xml:space="preserve">ApiAccess</w:t>
      </w:r>
      <w:r>
        <w:t xml:space="preserve"> </w:t>
      </w:r>
      <w:r>
        <w:t xml:space="preserve">accepts either scheme. Roles: Admin, Operator, Viewer, ApiClient — fine-grained permissions land in Phase 2; role claims are already in every principal.</w:t>
      </w:r>
      <w:r/>
    </w:p>
    <w:p>
      <w:pPr>
        <w:pStyle w:val="708"/>
        <w:numPr>
          <w:ilvl w:val="0"/>
          <w:numId w:val="13"/>
        </w:numPr>
        <w:pBdr/>
        <w:spacing/>
        <w:ind/>
        <w:rPr/>
      </w:pPr>
      <w:r>
        <w:t xml:space="preserve">Every principal carries</w:t>
      </w:r>
      <w:r>
        <w:t xml:space="preserve"> </w:t>
      </w:r>
      <w:r>
        <w:rPr>
          <w:rStyle w:val="749"/>
        </w:rPr>
        <w:t xml:space="preserve">org</w:t>
      </w:r>
      <w:r>
        <w:t xml:space="preserve">; EF global query filters make cross-tenant access structurally impossible rather than relying on per-query discipline.</w:t>
      </w:r>
      <w:bookmarkEnd w:id="36"/>
      <w:r/>
    </w:p>
    <w:p>
      <w:pPr>
        <w:pStyle w:val="719"/>
        <w:pBdr/>
        <w:spacing/>
        <w:ind/>
        <w:rPr/>
      </w:pPr>
      <w:r/>
      <w:bookmarkStart w:id="37" w:name="rate-limiting"/>
      <w:r>
        <w:t xml:space="preserve">6.3 Rate Limiting</w:t>
      </w:r>
      <w:r/>
    </w:p>
    <w:p>
      <w:pPr>
        <w:pStyle w:val="707"/>
        <w:pBdr/>
        <w:spacing/>
        <w:ind/>
        <w:rPr/>
      </w:pPr>
      <w:r>
        <w:t xml:space="preserve">Phase 1 ships none (dev). Phase 2 (ASP.NET</w:t>
      </w:r>
      <w:r>
        <w:t xml:space="preserve"> </w:t>
      </w:r>
      <w:r>
        <w:rPr>
          <w:rStyle w:val="749"/>
        </w:rPr>
        <w:t xml:space="preserve">AddRateLimiter</w:t>
      </w:r>
      <w:r>
        <w:t xml:space="preserve">):</w:t>
      </w:r>
      <w:r/>
    </w:p>
    <w:p>
      <w:pPr>
        <w:pStyle w:val="708"/>
        <w:numPr>
          <w:ilvl w:val="0"/>
          <w:numId w:val="14"/>
        </w:numPr>
        <w:pBdr/>
        <w:spacing/>
        <w:ind/>
        <w:rPr/>
      </w:pPr>
      <w:r>
        <w:rPr>
          <w:rStyle w:val="749"/>
        </w:rPr>
        <w:t xml:space="preserve">/api/auth/token</w:t>
      </w:r>
      <w:r>
        <w:t xml:space="preserve">: 5/min/IP (brute-force).</w:t>
      </w:r>
      <w:r/>
    </w:p>
    <w:p>
      <w:pPr>
        <w:pStyle w:val="708"/>
        <w:numPr>
          <w:ilvl w:val="0"/>
          <w:numId w:val="14"/>
        </w:numPr>
        <w:pBdr/>
        <w:spacing/>
        <w:ind/>
        <w:rPr/>
      </w:pPr>
      <w:r>
        <w:t xml:space="preserve">Campaign creation: per-API-key window (e.g. 60/min) + the existing 100 000-recipient cap per request.</w:t>
      </w:r>
      <w:r/>
    </w:p>
    <w:p>
      <w:pPr>
        <w:pStyle w:val="708"/>
        <w:numPr>
          <w:ilvl w:val="0"/>
          <w:numId w:val="14"/>
        </w:numPr>
        <w:pBdr/>
        <w:spacing/>
        <w:ind/>
        <w:rPr/>
      </w:pPr>
      <w:r>
        <w:t xml:space="preserve">Webhooks: per-provider-key window to absorb floods.</w:t>
      </w:r>
      <w:r/>
    </w:p>
    <w:p>
      <w:pPr>
        <w:pStyle w:val="708"/>
        <w:numPr>
          <w:ilvl w:val="0"/>
          <w:numId w:val="14"/>
        </w:numPr>
        <w:pBdr/>
        <w:spacing/>
        <w:ind/>
        <w:rPr/>
      </w:pPr>
      <w:r>
        <w:t xml:space="preserve">Plan-based quotas (campaigns/month, messages/month per organization) attach naturally to ApiKeys/Organizations when a membership model is introduced.</w:t>
      </w:r>
      <w:bookmarkEnd w:id="37"/>
      <w:r/>
    </w:p>
    <w:p>
      <w:pPr>
        <w:pStyle w:val="719"/>
        <w:pBdr/>
        <w:spacing/>
        <w:ind/>
        <w:rPr/>
      </w:pPr>
      <w:r/>
      <w:bookmarkStart w:id="38" w:name="error-handling"/>
      <w:r>
        <w:t xml:space="preserve">6.4 Error Handling</w:t>
      </w:r>
      <w:r/>
    </w:p>
    <w:p>
      <w:pPr>
        <w:pStyle w:val="707"/>
        <w:pBdr/>
        <w:spacing/>
        <w:ind/>
        <w:rPr/>
      </w:pPr>
      <w:r>
        <w:t xml:space="preserve">Single</w:t>
      </w:r>
      <w:r>
        <w:t xml:space="preserve"> </w:t>
      </w:r>
      <w:r>
        <w:rPr>
          <w:rStyle w:val="749"/>
        </w:rPr>
        <w:t xml:space="preserve">GlobalExceptionHandler</w:t>
      </w:r>
      <w:r>
        <w:t xml:space="preserve"> </w:t>
      </w:r>
      <w:r>
        <w:t xml:space="preserve">maps exceptions to ProblemDetails: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Condition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HTTP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Body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Validation failure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400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errors</w:t>
            </w:r>
            <w:r>
              <w:t xml:space="preserve"> </w:t>
            </w:r>
            <w:r>
              <w:t xml:space="preserve">dictionary (field → messages)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Unknown resource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404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title</w:t>
            </w:r>
            <w:r>
              <w:t xml:space="preserve"> </w:t>
            </w:r>
            <w:r>
              <w:t xml:space="preserve">“Resource not found”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Illegal state transition (e.g. cancel a completed campaign)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409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transition detail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Domain rule violation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422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rule detail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Unhandled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500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generic title; detail logged server-side only</w:t>
            </w:r>
            <w:bookmarkEnd w:id="38"/>
            <w:bookmarkEnd w:id="39"/>
            <w:r/>
          </w:p>
        </w:tc>
      </w:tr>
    </w:tbl>
    <w:p>
      <w:pPr>
        <w:pStyle w:val="718"/>
        <w:pBdr/>
        <w:spacing/>
        <w:ind/>
        <w:rPr/>
      </w:pPr>
      <w:r/>
      <w:bookmarkStart w:id="45" w:name="security-design"/>
      <w:r>
        <w:t xml:space="preserve">7. Security Design</w:t>
      </w:r>
      <w:r/>
    </w:p>
    <w:p>
      <w:pPr>
        <w:pStyle w:val="719"/>
        <w:pBdr/>
        <w:spacing/>
        <w:ind/>
        <w:rPr/>
      </w:pPr>
      <w:r/>
      <w:bookmarkStart w:id="40" w:name="authentication-authorization-1"/>
      <w:r>
        <w:t xml:space="preserve">7.1 Authentication / Authorization</w:t>
      </w:r>
      <w:r/>
    </w:p>
    <w:p>
      <w:pPr>
        <w:pStyle w:val="707"/>
        <w:pBdr/>
        <w:spacing/>
        <w:ind/>
        <w:rPr/>
      </w:pPr>
      <w:r>
        <w:t xml:space="preserve">JWT + API keys + Identity cookies as in Section 6.2; RBAC via Identity roles. The API host uses</w:t>
      </w:r>
      <w:r>
        <w:t xml:space="preserve"> </w:t>
      </w:r>
      <w:r>
        <w:rPr>
          <w:rStyle w:val="749"/>
        </w:rPr>
        <w:t xml:space="preserve">AddIdentityCore</w:t>
      </w:r>
      <w:r>
        <w:t xml:space="preserve"> </w:t>
      </w:r>
      <w:r>
        <w:t xml:space="preserve">deliberately — cookie redirect middleware must never corrupt API 401 responses. OAuth/OIDC readiness: validation parameters are standard; an external IdP replaces the local token endpoint without touching resource code.</w:t>
      </w:r>
      <w:bookmarkEnd w:id="40"/>
      <w:r/>
    </w:p>
    <w:p>
      <w:pPr>
        <w:pStyle w:val="719"/>
        <w:pBdr/>
        <w:spacing/>
        <w:ind/>
        <w:rPr/>
      </w:pPr>
      <w:r/>
      <w:bookmarkStart w:id="41" w:name="data-encryption"/>
      <w:r>
        <w:t xml:space="preserve">7.2 Data Encryption</w:t>
      </w:r>
      <w:r/>
    </w:p>
    <w:p>
      <w:pPr>
        <w:pStyle w:val="708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In transit:</w:t>
      </w:r>
      <w:r>
        <w:t xml:space="preserve"> </w:t>
      </w:r>
      <w:r>
        <w:t xml:space="preserve">TLS at ingress everywhere; HSTS for the Admin UI;</w:t>
      </w:r>
      <w:r>
        <w:t xml:space="preserve"> </w:t>
      </w:r>
      <w:r>
        <w:rPr>
          <w:rStyle w:val="749"/>
        </w:rPr>
        <w:t xml:space="preserve">TrustServerCertificate</w:t>
      </w:r>
      <w:r>
        <w:t xml:space="preserve"> </w:t>
      </w:r>
      <w:r>
        <w:t xml:space="preserve">only in local dev.</w:t>
      </w:r>
      <w:r/>
    </w:p>
    <w:p>
      <w:pPr>
        <w:pStyle w:val="708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At rest:</w:t>
      </w:r>
      <w:r>
        <w:t xml:space="preserve"> </w:t>
      </w:r>
      <w:r>
        <w:t xml:space="preserve">provider credentials encrypted with ASP.NET Data Protection (purpose-scoped key ring shared across hosts); API keys stored only as SHA-256 hashes; SQL TDE recommended at the instance level in production.</w:t>
      </w:r>
      <w:bookmarkEnd w:id="41"/>
      <w:r/>
    </w:p>
    <w:p>
      <w:pPr>
        <w:pStyle w:val="719"/>
        <w:pBdr/>
        <w:spacing/>
        <w:ind/>
        <w:rPr/>
      </w:pPr>
      <w:r/>
      <w:bookmarkStart w:id="42" w:name="security-auditing"/>
      <w:r>
        <w:t xml:space="preserve">7.3 Security Auditing</w:t>
      </w:r>
      <w:r/>
    </w:p>
    <w:p>
      <w:pPr>
        <w:pStyle w:val="707"/>
        <w:pBdr/>
        <w:spacing/>
        <w:ind/>
        <w:rPr/>
      </w:pPr>
      <w:r>
        <w:t xml:space="preserve">Serilog structured logs (correlation via OpenTelemetry trace ids);</w:t>
      </w:r>
      <w:r>
        <w:t xml:space="preserve"> </w:t>
      </w:r>
      <w:r>
        <w:rPr>
          <w:rStyle w:val="749"/>
        </w:rPr>
        <w:t xml:space="preserve">AuditLogs</w:t>
      </w:r>
      <w:r>
        <w:t xml:space="preserve"> </w:t>
      </w:r>
      <w:r>
        <w:t xml:space="preserve">table capturing who/what/when/IP/old/new for admin mutations (interceptor lands Phase 2); Hangfire dashboard records job history; sign-in lockout events via Identity.</w:t>
      </w:r>
      <w:bookmarkEnd w:id="42"/>
      <w:r/>
    </w:p>
    <w:p>
      <w:pPr>
        <w:pStyle w:val="719"/>
        <w:pBdr/>
        <w:spacing/>
        <w:ind/>
        <w:rPr/>
      </w:pPr>
      <w:r/>
      <w:bookmarkStart w:id="43" w:name="vulnerabilities-mitigations"/>
      <w:r>
        <w:t xml:space="preserve">7.4 Vulnerabilities &amp; Mitigations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Threat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Mitigation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SQL injection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EF Core parameterization exclusively; no raw SQL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XSS (Admin UI)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Razor auto-encoding; CSP planned with bundled Chart.js (drop CDN)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CSRF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Anti-forgery tokens on all Admin UI POSTs; API is header-token based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Credential theft at rest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Data Protection encryption; keys never returned by any API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 key brute force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256-bit keys, hash-only storage, constant-time compare, rate limiting (Phase 2)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Webhook spoofing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Per-configuration shared secret (constant-time); monotonic status rules block downgrade attacks; provider signature verification (Twilio/Meta HMAC) in Phase 2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Template injection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Single-pass rendering — substituted values are never re-expanded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Tenant data leakage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Global query filters bound to authenticated principal;</w:t>
            </w:r>
            <w:r>
              <w:t xml:space="preserve"> </w:t>
            </w:r>
            <w:r>
              <w:rPr>
                <w:rStyle w:val="749"/>
              </w:rPr>
              <w:t xml:space="preserve">IgnoreQueryFilters</w:t>
            </w:r>
            <w:r>
              <w:t xml:space="preserve"> </w:t>
            </w:r>
            <w:r>
              <w:t xml:space="preserve">restricted to three reviewed call sites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SSRF via callback URLs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Absolute http(s) validation now; private-range blocking + no-redirect client when callbacks are implemented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Payload abuse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100k recipient cap, size-limited fields, FluentValidation on every command</w:t>
            </w:r>
            <w:bookmarkEnd w:id="43"/>
            <w:r/>
          </w:p>
        </w:tc>
      </w:tr>
    </w:tbl>
    <w:p>
      <w:pPr>
        <w:pStyle w:val="719"/>
        <w:pBdr/>
        <w:spacing/>
        <w:ind/>
        <w:rPr/>
      </w:pPr>
      <w:r/>
      <w:bookmarkStart w:id="44" w:name="security-stack-lines-of-defense"/>
      <w:r>
        <w:t xml:space="preserve">7.5 Security Stack — Lines of Defense</w:t>
      </w:r>
      <w:r/>
    </w:p>
    <w:p>
      <w:pPr>
        <w:pStyle w:val="708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First line:</w:t>
      </w:r>
      <w:r>
        <w:t xml:space="preserve"> </w:t>
      </w:r>
      <w:r>
        <w:t xml:space="preserve">ingress TLS termination + WAF/DDoS protection (platform), rate limiting, request size limits.</w:t>
      </w:r>
      <w:r/>
    </w:p>
    <w:p>
      <w:pPr>
        <w:pStyle w:val="708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Application line:</w:t>
      </w:r>
      <w:r>
        <w:t xml:space="preserve"> </w:t>
      </w:r>
      <w:r>
        <w:t xml:space="preserve">authentication schemes → authorization policy → tenant middleware → FluentValidation → ProblemDetails (no internal leakage).</w:t>
      </w:r>
      <w:r/>
    </w:p>
    <w:p>
      <w:pPr>
        <w:pStyle w:val="708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Data line:</w:t>
      </w:r>
      <w:r>
        <w:t xml:space="preserve"> </w:t>
      </w:r>
      <w:r>
        <w:t xml:space="preserve">query filters (isolation), encrypted credentials, hashed keys, least-privilege SQL login.</w:t>
      </w:r>
      <w:r/>
    </w:p>
    <w:p>
      <w:pPr>
        <w:pStyle w:val="708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Last line:</w:t>
      </w:r>
      <w:r>
        <w:t xml:space="preserve"> </w:t>
      </w:r>
      <w:r>
        <w:t xml:space="preserve">audit logs + structured logging + alerting (detect), backups + tested restores (recover).</w:t>
      </w:r>
      <w:bookmarkEnd w:id="44"/>
      <w:bookmarkEnd w:id="45"/>
      <w:r/>
    </w:p>
    <w:p>
      <w:pPr>
        <w:pStyle w:val="718"/>
        <w:pBdr/>
        <w:spacing/>
        <w:ind/>
        <w:rPr/>
      </w:pPr>
      <w:r/>
      <w:bookmarkStart w:id="50" w:name="deployment-architecture"/>
      <w:r>
        <w:t xml:space="preserve">8. Deployment Architecture</w:t>
      </w:r>
      <w:r/>
    </w:p>
    <w:p>
      <w:pPr>
        <w:pStyle w:val="719"/>
        <w:pBdr/>
        <w:spacing/>
        <w:ind/>
        <w:rPr/>
      </w:pPr>
      <w:r/>
      <w:bookmarkStart w:id="46" w:name="deployment-diagram"/>
      <w:r>
        <w:t xml:space="preserve">8.1 Deployment Diagram</w:t>
      </w:r>
      <w:r/>
    </w:p>
    <w:p>
      <w:pPr>
        <w:pStyle w:val="754"/>
        <w:pBdr/>
        <w:spacing/>
        <w:ind/>
        <w:rPr/>
      </w:pPr>
      <w:r>
        <w:rPr>
          <w:rStyle w:val="749"/>
        </w:rPr>
        <w:t xml:space="preserve">                    </w:t>
      </w:r>
      <w:r/>
      <w:r/>
      <w:r/>
      <w:r>
        <w:rPr>
          <w:rStyle w:val="749"/>
        </w:rPr>
      </w:r>
      <w:r>
        <w:rPr>
          <w:rStyle w:val="749"/>
        </w:rPr>
        <w:t xml:space="preserve">      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000" cy="489176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60638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000" cy="4891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2pt;height:385.1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Style w:val="749"/>
        </w:rPr>
        <w:t xml:space="preserve"> Shared: Data Protection key ring (mounted volume / blob / Redis)</w:t>
      </w:r>
      <w:bookmarkEnd w:id="46"/>
      <w:r/>
    </w:p>
    <w:p>
      <w:pPr>
        <w:pStyle w:val="719"/>
        <w:pBdr/>
        <w:spacing/>
        <w:ind/>
        <w:rPr/>
      </w:pPr>
      <w:r/>
      <w:bookmarkStart w:id="47" w:name="environment-setup"/>
      <w:r>
        <w:t xml:space="preserve">8.2 Environment Setup</w:t>
      </w:r>
      <w:r/>
    </w:p>
    <w:p>
      <w:pPr>
        <w:pStyle w:val="708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Development:</w:t>
      </w:r>
      <w:r>
        <w:t xml:space="preserve"> </w:t>
      </w:r>
      <w:r>
        <w:t xml:space="preserve">Podman on Linux;</w:t>
      </w:r>
      <w:r>
        <w:t xml:space="preserve"> </w:t>
      </w:r>
      <w:r>
        <w:rPr>
          <w:rStyle w:val="749"/>
        </w:rPr>
        <w:t xml:space="preserve">podman-compose.yml</w:t>
      </w:r>
      <w:r>
        <w:t xml:space="preserve"> </w:t>
      </w:r>
      <w:r>
        <w:t xml:space="preserve">runs SQL Server 2022;</w:t>
      </w:r>
      <w:r>
        <w:t xml:space="preserve"> </w:t>
      </w:r>
      <w:r>
        <w:rPr>
          <w:rStyle w:val="749"/>
        </w:rPr>
        <w:t xml:space="preserve">dotnet run</w:t>
      </w:r>
      <w:r>
        <w:t xml:space="preserve"> </w:t>
      </w:r>
      <w:r>
        <w:t xml:space="preserve">per host; migrations + demo seed applied on API startup; smoke script (</w:t>
      </w:r>
      <w:r>
        <w:rPr>
          <w:rStyle w:val="749"/>
        </w:rPr>
        <w:t xml:space="preserve">scripts/smoke.sh</w:t>
      </w:r>
      <w:r>
        <w:t xml:space="preserve">) exercises the full flow with fake providers — zero real credentials.</w:t>
      </w:r>
      <w:r/>
    </w:p>
    <w:p>
      <w:pPr>
        <w:pStyle w:val="708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Staging:</w:t>
      </w:r>
      <w:r>
        <w:t xml:space="preserve"> </w:t>
      </w:r>
      <w:r>
        <w:t xml:space="preserve">same container images as production (tag = git SHA), replica of production topology, seeded synthetic tenants; smoke script runs post-deploy as an acceptance gate.</w:t>
      </w:r>
      <w:r/>
    </w:p>
    <w:p>
      <w:pPr>
        <w:pStyle w:val="708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Production:</w:t>
      </w:r>
      <w:r>
        <w:t xml:space="preserve"> </w:t>
      </w:r>
      <w:r>
        <w:t xml:space="preserve">container orchestrator (Kubernetes/Container Apps); secrets from a vault (connection string,</w:t>
      </w:r>
      <w:r>
        <w:t xml:space="preserve"> </w:t>
      </w:r>
      <w:r>
        <w:rPr>
          <w:rStyle w:val="749"/>
        </w:rPr>
        <w:t xml:space="preserve">Jwt__SigningKey</w:t>
      </w:r>
      <w:r>
        <w:t xml:space="preserve">); migrations via a dedicated job step (</w:t>
      </w:r>
      <w:r>
        <w:rPr>
          <w:rStyle w:val="749"/>
        </w:rPr>
        <w:t xml:space="preserve">Database:MigrateOnStartup=false</w:t>
      </w:r>
      <w:r>
        <w:t xml:space="preserve"> </w:t>
      </w:r>
      <w:r>
        <w:t xml:space="preserve">in fleets); multi-stage</w:t>
      </w:r>
      <w:r>
        <w:t xml:space="preserve"> </w:t>
      </w:r>
      <w:r>
        <w:rPr>
          <w:rStyle w:val="749"/>
        </w:rPr>
        <w:t xml:space="preserve">Dockerfile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749"/>
        </w:rPr>
        <w:t xml:space="preserve">PROJECT</w:t>
      </w:r>
      <w:r>
        <w:t xml:space="preserve"> </w:t>
      </w:r>
      <w:r>
        <w:t xml:space="preserve">build-arg produces the three images.</w:t>
      </w:r>
      <w:bookmarkEnd w:id="47"/>
      <w:r/>
    </w:p>
    <w:p>
      <w:pPr>
        <w:pStyle w:val="719"/>
        <w:pBdr/>
        <w:spacing/>
        <w:ind/>
        <w:rPr/>
      </w:pPr>
      <w:r/>
      <w:bookmarkStart w:id="48" w:name="scaling-strategy"/>
      <w:r>
        <w:t xml:space="preserve">8.3 Scaling Strategy</w:t>
      </w:r>
      <w:r/>
    </w:p>
    <w:p>
      <w:pPr>
        <w:pStyle w:val="707"/>
        <w:pBdr/>
        <w:spacing/>
        <w:ind/>
        <w:rPr/>
      </w:pPr>
      <w:r>
        <w:t xml:space="preserve">Horizontal-first: stateless API replicas behind the LB (no sticky sessions); Workers replicas c</w:t>
      </w:r>
      <w:r>
        <w:t xml:space="preserve">ompete safely for jobs (autoscale on queue depth); SQL scales vertically first, then read replicas for reporting, then partitioning (Section 5.4) and finally broker-based dispatch (Section 13). The 500-message batch fan-out is the unit of send parallelism.</w:t>
      </w:r>
      <w:bookmarkEnd w:id="48"/>
      <w:r/>
    </w:p>
    <w:p>
      <w:pPr>
        <w:pStyle w:val="719"/>
        <w:pBdr/>
        <w:spacing/>
        <w:ind/>
        <w:rPr/>
      </w:pPr>
      <w:r/>
      <w:bookmarkStart w:id="49" w:name="monitoring-stack"/>
      <w:r>
        <w:t xml:space="preserve">8.4 Monitoring Stack</w:t>
      </w:r>
      <w:r/>
    </w:p>
    <w:p>
      <w:pPr>
        <w:pStyle w:val="707"/>
        <w:pBdr/>
        <w:spacing/>
        <w:ind/>
        <w:rPr/>
      </w:pPr>
      <w:r>
        <w:t xml:space="preserve">OpenTelemetry traces (AspNetCore + HttpClient instrum</w:t>
      </w:r>
      <w:r>
        <w:t xml:space="preserve">entation, OTLP export) → collector → Grafana Tempo/Jaeger; metrics (Phase 3) → Prometheus + Grafana dashboards; Serilog → console/JSON → log aggregation (Loki/ELK); Hangfire dashboard for job-level visibility; health endpoints wired to orchestrator probes.</w:t>
      </w:r>
      <w:bookmarkEnd w:id="49"/>
      <w:bookmarkEnd w:id="50"/>
      <w:r/>
    </w:p>
    <w:p>
      <w:pPr>
        <w:pStyle w:val="718"/>
        <w:pBdr/>
        <w:spacing/>
        <w:ind/>
        <w:rPr/>
      </w:pPr>
      <w:r/>
      <w:bookmarkStart w:id="51" w:name="testing-strategy"/>
      <w:r>
        <w:t xml:space="preserve">9. Testing Strategy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Layer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Approach &amp; tools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Unit testing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xUnit + FluentAssertions + NSubstitute. 50 tests cover the campaign/mess</w:t>
            </w:r>
            <w:r>
              <w:t xml:space="preserve">age state machines (every legal and illegal transition), provider failover semantics (priority, transient failover, rejection short-circuit, exception handling), registry resolution and template rendering (case-insensitivity, whitespace, injection safety).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Integration testing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WebApplicationFactory</w:t>
            </w:r>
            <w:r>
              <w:t xml:space="preserve"> </w:t>
            </w:r>
            <w:r>
              <w:t xml:space="preserve">against a real SQL Server with a</w:t>
            </w:r>
            <w:r>
              <w:t xml:space="preserve"> </w:t>
            </w:r>
            <w:r>
              <w:rPr>
                <w:b/>
                <w:bCs/>
              </w:rPr>
              <w:t xml:space="preserve">throwaway database per run</w:t>
            </w:r>
            <w:r>
              <w:t xml:space="preserve"> </w:t>
            </w:r>
            <w:r>
              <w:t xml:space="preserve">(created by startup migrations, dropped on dispose) — the dev database and Hangfire schema are never touched. Covers auth (401), campaign creation (202 + dedup), status queries, validation ProblemDetails.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Acceptance testing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scripts/smoke.sh</w:t>
            </w:r>
            <w:r>
              <w:t xml:space="preserve"> </w:t>
            </w:r>
            <w:r>
              <w:t xml:space="preserve">— full-system flow on live hosts: health → token → 401 check → 100-recipient campaign → poll to terminal status → tracking lookup → webhook delivery flip → API-key auth → schedule + cancel. Doubles as the staging deploy gate.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Performance testing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Phase 2: k6 or NBomber load model — campaign submission at target RPS, send throughput per worker replica, status query latency at 10M+ message rows; soak test for Hangfire storage growth.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Security testing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dotnet list package --vulnerable</w:t>
            </w:r>
            <w:r>
              <w:t xml:space="preserve"> </w:t>
            </w:r>
            <w:r>
              <w:t xml:space="preserve">in CI; OWASP ZAP baseline scan against staging; secret-scanning hooks; annual penetration test before production launch.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Automated testing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CI runs unit + integration suites on every push (SQL as a service container); smoke script post-deploy; failing tests block image promotion.</w:t>
            </w:r>
            <w:bookmarkEnd w:id="51"/>
            <w:r/>
          </w:p>
        </w:tc>
      </w:tr>
    </w:tbl>
    <w:p>
      <w:pPr>
        <w:pStyle w:val="718"/>
        <w:pBdr/>
        <w:spacing/>
        <w:ind/>
        <w:rPr/>
      </w:pPr>
      <w:r/>
      <w:bookmarkStart w:id="52" w:name="maintenance-and-monitoring"/>
      <w:r>
        <w:t xml:space="preserve">10. Maintenance and Monitoring</w:t>
      </w:r>
      <w:r/>
    </w:p>
    <w:p>
      <w:pPr>
        <w:pStyle w:val="708"/>
        <w:numPr>
          <w:ilvl w:val="0"/>
          <w:numId w:val="18"/>
        </w:numPr>
        <w:pBdr/>
        <w:spacing/>
        <w:ind/>
        <w:rPr/>
      </w:pPr>
      <w:r>
        <w:rPr>
          <w:b/>
          <w:bCs/>
        </w:rPr>
        <w:t xml:space="preserve">Logging:</w:t>
      </w:r>
      <w:r>
        <w:t xml:space="preserve"> </w:t>
      </w:r>
      <w:r>
        <w:t xml:space="preserve">Serilog structured logging in all hosts (request logging, job lifecycle, provider sends with provider message ids); log levels tuned per namespace; JSON output in containers for aggregation.</w:t>
      </w:r>
      <w:r/>
    </w:p>
    <w:p>
      <w:pPr>
        <w:pStyle w:val="708"/>
        <w:numPr>
          <w:ilvl w:val="0"/>
          <w:numId w:val="18"/>
        </w:numPr>
        <w:pBdr/>
        <w:spacing/>
        <w:ind/>
        <w:rPr/>
      </w:pPr>
      <w:r>
        <w:rPr>
          <w:b/>
          <w:bCs/>
        </w:rPr>
        <w:t xml:space="preserve">Alerting:</w:t>
      </w:r>
      <w:r>
        <w:t xml:space="preserve"> </w:t>
      </w:r>
      <w:r>
        <w:t xml:space="preserve">Phase 2 — provider offline / auth-failure alerts, campaign failure-rate threshold alerts, Hangfire failed-job count, health-check failures → email/webhook/PagerDuty-compatible sink.</w:t>
      </w:r>
      <w:r/>
    </w:p>
    <w:p>
      <w:pPr>
        <w:pStyle w:val="708"/>
        <w:numPr>
          <w:ilvl w:val="0"/>
          <w:numId w:val="18"/>
        </w:numPr>
        <w:pBdr/>
        <w:spacing/>
        <w:ind/>
        <w:rPr/>
      </w:pPr>
      <w:r>
        <w:rPr>
          <w:b/>
          <w:bCs/>
        </w:rPr>
        <w:t xml:space="preserve">System health:</w:t>
      </w:r>
      <w:r>
        <w:t xml:space="preserve"> </w:t>
      </w:r>
      <w:r>
        <w:rPr>
          <w:rStyle w:val="749"/>
        </w:rPr>
        <w:t xml:space="preserve">/health/live</w:t>
      </w:r>
      <w:r>
        <w:t xml:space="preserve"> </w:t>
      </w:r>
      <w:r>
        <w:t xml:space="preserve">(process),</w:t>
      </w:r>
      <w:r>
        <w:t xml:space="preserve"> </w:t>
      </w:r>
      <w:r>
        <w:rPr>
          <w:rStyle w:val="749"/>
        </w:rPr>
        <w:t xml:space="preserve">/health/ready</w:t>
      </w:r>
      <w:r>
        <w:t xml:space="preserve"> </w:t>
      </w:r>
      <w:r>
        <w:t xml:space="preserve">(SQL); orchestrator probes; key metrics to track — API p95 latency, queue depth (Hangfire enqueued/scheduled counts), send throughput, per-provider failure ratio, DB DTU/CPU,</w:t>
      </w:r>
      <w:r>
        <w:t xml:space="preserve"> </w:t>
      </w:r>
      <w:r>
        <w:rPr>
          <w:rStyle w:val="749"/>
        </w:rPr>
        <w:t xml:space="preserve">Messages</w:t>
      </w:r>
      <w:r>
        <w:t xml:space="preserve"> </w:t>
      </w:r>
      <w:r>
        <w:t xml:space="preserve">table growth.</w:t>
      </w:r>
      <w:r/>
    </w:p>
    <w:p>
      <w:pPr>
        <w:pStyle w:val="708"/>
        <w:numPr>
          <w:ilvl w:val="0"/>
          <w:numId w:val="18"/>
        </w:numPr>
        <w:pBdr/>
        <w:spacing/>
        <w:ind/>
        <w:rPr/>
      </w:pPr>
      <w:r>
        <w:rPr>
          <w:b/>
          <w:bCs/>
        </w:rPr>
        <w:t xml:space="preserve">Error tracking:</w:t>
      </w:r>
      <w:r>
        <w:t xml:space="preserve"> </w:t>
      </w:r>
      <w:r>
        <w:t xml:space="preserve">unhandled exceptions logged with trace correlation; Sentry (or equivalent) integration is a one-line Serilog sink addition in Phase 2; ProblemDetails keep client-visible errors consistent while full detail stays server-side.</w:t>
      </w:r>
      <w:bookmarkEnd w:id="52"/>
      <w:r/>
    </w:p>
    <w:p>
      <w:pPr>
        <w:pStyle w:val="718"/>
        <w:pBdr/>
        <w:spacing/>
        <w:ind/>
        <w:rPr/>
      </w:pPr>
      <w:r/>
      <w:bookmarkStart w:id="53" w:name="backup-and-recovery"/>
      <w:r>
        <w:t xml:space="preserve">11. Backup and Recovery</w:t>
      </w:r>
      <w:r/>
    </w:p>
    <w:p>
      <w:pPr>
        <w:pStyle w:val="708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Backups:</w:t>
      </w:r>
      <w:r>
        <w:t xml:space="preserve"> </w:t>
      </w:r>
      <w:r>
        <w:t xml:space="preserve">SQL Server full nightly + differe</w:t>
      </w:r>
      <w:r>
        <w:t xml:space="preserve">ntial 6-hourly + transaction log every 15 min (point-in-time restore); Data Protection key ring backed up on every key rotation (critical — losing it makes stored provider credentials unrecoverable, see Risk 1); container images and IaC in version control.</w:t>
      </w:r>
      <w:r/>
    </w:p>
    <w:p>
      <w:pPr>
        <w:pStyle w:val="708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Disaster recovery:</w:t>
      </w:r>
      <w:r>
        <w:t xml:space="preserve"> </w:t>
      </w:r>
      <w:r>
        <w:t xml:space="preserve">RPO ≤ 15 min (log backups), RTO ≤ 1 h (restore + redeploy from images). Runbook: restore DB → mount key ring → deploy images → smoke script</w:t>
      </w:r>
      <w:r>
        <w:t xml:space="preserve"> → resume Workers (interrupted jobs resume safely because processing is status-driven and idempotent; Hangfire re-fires in-flight jobs). Provider credentials re-entry is the documented fallback if the key ring is lost. Quarterly restore drills recommended.</w:t>
      </w:r>
      <w:bookmarkEnd w:id="53"/>
      <w:r/>
    </w:p>
    <w:p>
      <w:pPr>
        <w:pStyle w:val="718"/>
        <w:pBdr/>
        <w:spacing/>
        <w:ind/>
        <w:rPr/>
      </w:pPr>
      <w:r/>
      <w:bookmarkStart w:id="54" w:name="risks-and-mitigation"/>
      <w:r>
        <w:t xml:space="preserve">12. Risks and Mitigation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#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Risk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L/I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Mitigation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Data Protection key loss → credentials unrecoverable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Low/Critical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Durable shared key ring, backups on rotation, key-encryption cert; documented re-entry fallback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Double-sends from at-least-once execution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Low/Medium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Status-driven range-scoped jobs; 50-row save chunks bound the window; provider idempotency keys where supported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Webhook arrives before ProviderMessageId persisted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Med/Low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Frequent saves; Phase 2 dead-letter + replay for unmatched callbacks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 throttling/blacklisting under load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Med/High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Phase 2 per-provider rate limits + circuit breakers; failover chains spread load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5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Tenant starvation by a giant campaign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Med/Medium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Batch interleaving across workers; Phase 2 per-tenant quotas / priority queues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6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Hangfire SQL contention at extreme scale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Low/Medium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Queue split, replicas;</w:t>
            </w:r>
            <w:r>
              <w:t xml:space="preserve"> </w:t>
            </w:r>
            <w:r>
              <w:rPr>
                <w:rStyle w:val="749"/>
              </w:rPr>
              <w:t xml:space="preserve">ICampaignDispatcher</w:t>
            </w:r>
            <w:r>
              <w:t xml:space="preserve"> </w:t>
            </w:r>
            <w:r>
              <w:t xml:space="preserve">abstraction enables broker swap without business-logic change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7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Messages</w:t>
            </w:r>
            <w:r>
              <w:t xml:space="preserve"> </w:t>
            </w:r>
            <w:r>
              <w:t xml:space="preserve">growth degrades queries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High(eventually)/Medium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Covering + filtered indexes now; monthly partitioning + retention archive per plan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8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Dev secrets leaking to production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Med/High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CI check blocks deploys with default</w:t>
            </w:r>
            <w:r>
              <w:t xml:space="preserve"> </w:t>
            </w:r>
            <w:r>
              <w:rPr>
                <w:rStyle w:val="749"/>
              </w:rPr>
              <w:t xml:space="preserve">Jwt:SigningKey</w:t>
            </w:r>
            <w:r>
              <w:t xml:space="preserve">/SA password; vault-injected config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9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Cancellation races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Certain/Low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Accepted semantics: in-flight messages complete; probe every 50 caps overshoot; documented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10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Seeded demo credentials on production DB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Low/High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Seeder gated by environment; make seeding explicit CLI-only in Phase 2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11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IgnoreQueryFilters</w:t>
            </w:r>
            <w:r>
              <w:t xml:space="preserve"> </w:t>
            </w:r>
            <w:r>
              <w:t xml:space="preserve">misuse breaking isolation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Low/High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Three reviewed call sites; code-review rule / analyzer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12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Single SQL instance as SPOF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Med/High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HA deployment (availability groups / managed SQL), tested restores, health-probe failover</w:t>
            </w:r>
            <w:bookmarkEnd w:id="54"/>
            <w:r/>
          </w:p>
        </w:tc>
      </w:tr>
    </w:tbl>
    <w:p>
      <w:pPr>
        <w:pStyle w:val="718"/>
        <w:pBdr/>
        <w:spacing/>
        <w:ind/>
        <w:rPr/>
      </w:pPr>
      <w:r/>
      <w:bookmarkStart w:id="55" w:name="future-enhancements"/>
      <w:r>
        <w:t xml:space="preserve">13. Future Enhancements</w:t>
      </w:r>
      <w:r/>
    </w:p>
    <w:p>
      <w:pPr>
        <w:pStyle w:val="707"/>
        <w:pBdr/>
        <w:spacing/>
        <w:ind/>
        <w:rPr/>
      </w:pPr>
      <w:r>
        <w:rPr>
          <w:b/>
          <w:bCs/>
        </w:rPr>
        <w:t xml:space="preserve">Roadmap</w:t>
      </w:r>
      <w:r>
        <w:t xml:space="preserve"> </w:t>
      </w:r>
      <w:r>
        <w:t xml:space="preserve">(full detail in</w:t>
      </w:r>
      <w:r>
        <w:t xml:space="preserve"> </w:t>
      </w:r>
      <w:r>
        <w:rPr>
          <w:rStyle w:val="749"/>
        </w:rPr>
        <w:t xml:space="preserve">docs/13-phased-plan.md</w:t>
      </w:r>
      <w:r>
        <w:t xml:space="preserve">):</w:t>
      </w:r>
      <w:r/>
    </w:p>
    <w:p>
      <w:pPr>
        <w:pStyle w:val="708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Phase 2 — Operability &amp; administration:</w:t>
      </w:r>
      <w:r>
        <w:t xml:space="preserve"> </w:t>
      </w:r>
      <w:r>
        <w:t xml:space="preserve">provider CRUD UI with test-conne</w:t>
      </w:r>
      <w:r>
        <w:t xml:space="preserve">ction, rate limits, retry policies; template CRUD + preview; streamed CSV recipient upload; audit interceptor + viewer; API rate limiting; Hangfire dashboard auth; webhook signature verification; dead-letter + replay; completion callbacks with SSRF guards;</w:t>
      </w:r>
      <w:r>
        <w:t xml:space="preserve"> </w:t>
      </w:r>
      <w:r>
        <w:rPr>
          <w:rStyle w:val="749"/>
        </w:rPr>
        <w:t xml:space="preserve">DailyStatistics</w:t>
      </w:r>
      <w:r>
        <w:t xml:space="preserve"> </w:t>
      </w:r>
      <w:r>
        <w:t xml:space="preserve">rollup + dashboard; API key and user/role management UIs; notifications.</w:t>
      </w:r>
      <w:r/>
    </w:p>
    <w:p>
      <w:pPr>
        <w:pStyle w:val="708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Phase 3 — Scale &amp; breadth:</w:t>
      </w:r>
      <w:r>
        <w:t xml:space="preserve"> </w:t>
      </w:r>
      <w:r>
        <w:t xml:space="preserve">recurring campaigns; remaining providers (Africa’s Talking, C</w:t>
      </w:r>
      <w:r>
        <w:t xml:space="preserve">lickatell, SMPP, SendGrid, Mailgun, SES, Twilio WhatsApp, Infobip); SqlBulkCopy imports; lazy message creation; partitioning + retention; Redis caching + token-bucket rate limiting + circuit breakers; report exports (Excel/CSV/PDF); OTel metrics + Grafana.</w:t>
      </w:r>
      <w:r/>
    </w:p>
    <w:p>
      <w:pPr>
        <w:pStyle w:val="708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Phase 4 — Enterprise hardening:</w:t>
      </w:r>
      <w:r>
        <w:t xml:space="preserve"> </w:t>
      </w:r>
      <w:r>
        <w:t xml:space="preserve">external IdP (OIDC) + fine-grained permissions; broker-based dispatch (RabbitMQ/ASB); read replicas / reporting store; multi-region; attachment storage (blob/S3); compliance (PII retention, right-to-erasure, per-tenant encryption keys).</w:t>
      </w:r>
      <w:r/>
    </w:p>
    <w:p>
      <w:pPr>
        <w:pStyle w:val="707"/>
        <w:pBdr/>
        <w:spacing/>
        <w:ind/>
        <w:rPr/>
      </w:pPr>
      <w:r>
        <w:rPr>
          <w:b/>
          <w:bCs/>
        </w:rPr>
        <w:t xml:space="preserve">Scalability considerations for the next order of magnitude:</w:t>
      </w:r>
      <w:r>
        <w:t xml:space="preserve"> </w:t>
      </w:r>
      <w:r>
        <w:t xml:space="preserve">move recipient import fully out-of-band (background job + progress endpoint); split</w:t>
      </w:r>
      <w:r>
        <w:t xml:space="preserve"> </w:t>
      </w:r>
      <w:r>
        <w:rPr>
          <w:rStyle w:val="749"/>
        </w:rPr>
        <w:t xml:space="preserve">sends</w:t>
      </w:r>
      <w:r>
        <w:t xml:space="preserve"> </w:t>
      </w:r>
      <w:r>
        <w:t xml:space="preserve">queue servers from orchestration; adopt partitioning before the</w:t>
      </w:r>
      <w:r>
        <w:t xml:space="preserve"> </w:t>
      </w:r>
      <w:r>
        <w:rPr>
          <w:rStyle w:val="749"/>
        </w:rPr>
        <w:t xml:space="preserve">Messages</w:t>
      </w:r>
      <w:r>
        <w:t xml:space="preserve"> </w:t>
      </w:r>
      <w:r>
        <w:t xml:space="preserve">table passes ~100M rows; introduce the broker only when measured Hangfire storage contention justifies it — the dispatcher abstraction makes that a swap, not a rewrite.</w:t>
      </w:r>
      <w:bookmarkEnd w:id="55"/>
      <w:r/>
    </w:p>
    <w:p>
      <w:pPr>
        <w:pStyle w:val="718"/>
        <w:pBdr/>
        <w:spacing/>
        <w:ind/>
        <w:rPr/>
      </w:pPr>
      <w:r/>
      <w:bookmarkStart w:id="56" w:name="appendix-a-acronyms-glossary"/>
      <w:r>
        <w:t xml:space="preserve">Appendix A: Acronyms &amp; Glossary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Term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Meaning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SDD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System Design Document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CQRS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Command Query Responsibility Segregation (MediatR commands/queries)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CPM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Central Package Management (single NuGet version file)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JWT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JSON Web Token (HS256-signed bearer token)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RBAC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Role-Based Access Control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ProblemDetails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RFC 7807 standard error payload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Tracking Id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Human-shareable campaign identifier (</w:t>
            </w:r>
            <w:r>
              <w:rPr>
                <w:rStyle w:val="749"/>
              </w:rPr>
              <w:t xml:space="preserve">CMP-…</w:t>
            </w:r>
            <w:r>
              <w:t xml:space="preserve">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 concrete delivery service (Twilio, SMTP relay, Meta Cloud API…)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 Key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Stable string identifying a provider implementation (</w:t>
            </w:r>
            <w:r>
              <w:rPr>
                <w:rStyle w:val="749"/>
              </w:rPr>
              <w:t xml:space="preserve">twilio</w:t>
            </w:r>
            <w:r>
              <w:t xml:space="preserve">,</w:t>
            </w:r>
            <w:r>
              <w:t xml:space="preserve"> </w:t>
            </w:r>
            <w:r>
              <w:rPr>
                <w:rStyle w:val="749"/>
              </w:rPr>
              <w:t xml:space="preserve">smtp</w:t>
            </w:r>
            <w:r>
              <w:t xml:space="preserve">,</w:t>
            </w:r>
            <w:r>
              <w:t xml:space="preserve"> </w:t>
            </w:r>
            <w:r>
              <w:rPr>
                <w:rStyle w:val="749"/>
              </w:rPr>
              <w:t xml:space="preserve">fake-sms</w:t>
            </w:r>
            <w:r>
              <w:t xml:space="preserve">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Failover chain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Ordered list of an organization’s enabled providers for a channel, by priority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Finalizer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Background job that computes a campaign’s final status and counters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Data Protection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ASP.NET encryption subsystem used for provider credentials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DTU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Database Transaction Unit (Azure SQL capacity measure)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RPO / RTO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Recovery Point / Time Objective</w:t>
            </w:r>
            <w:bookmarkEnd w:id="56"/>
            <w:r/>
          </w:p>
        </w:tc>
      </w:tr>
    </w:tbl>
    <w:p>
      <w:pPr>
        <w:pStyle w:val="718"/>
        <w:pBdr/>
        <w:spacing/>
        <w:ind/>
        <w:rPr/>
      </w:pPr>
      <w:r/>
      <w:bookmarkStart w:id="57" w:name="appendix-b-referenced-documents"/>
      <w:r>
        <w:t xml:space="preserve">Appendix B: Referenced Documents</w:t>
      </w:r>
      <w:r/>
    </w:p>
    <w:tbl>
      <w:tblPr>
        <w:tblStyle w:val="740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Document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Location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Solution architecture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docs/01-solution-architecture.md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Database schema &amp; ERD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docs/02-database-schema.md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API specification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docs/03-api-spec.md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Authentication flows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docs/04-auth.md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Background processing &amp; sequence diagrams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docs/05-background-processing.md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Provider abstraction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docs/06-provider-abstraction.md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Admin UI design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docs/07-admin-ui.md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Dashboard &amp; reporting design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docs/08-reporting.md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Deployment &amp; CI/CD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docs/09-deployment.md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Security review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docs/10-security-review.md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Scalability recommendations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docs/11-scalability.md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Risks &amp; mitigations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docs/12-risks.md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Phased implementation plan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docs/13-phased-plan.md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Smoke/acceptance script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rPr>
                <w:rStyle w:val="749"/>
              </w:rPr>
              <w:t xml:space="preserve">scripts/smoke.sh</w:t>
            </w:r>
            <w:bookmarkEnd w:id="57"/>
            <w:r/>
          </w:p>
        </w:tc>
      </w:tr>
    </w:tbl>
    <w:p>
      <w:pPr>
        <w:pStyle w:val="718"/>
        <w:pBdr/>
        <w:spacing/>
        <w:ind/>
        <w:rPr/>
      </w:pPr>
      <w:r/>
      <w:bookmarkStart w:id="58" w:name="appendix-c-approvals"/>
      <w:r>
        <w:t xml:space="preserve">Appendix C: Approvals</w:t>
      </w:r>
      <w:r/>
    </w:p>
    <w:tbl>
      <w:tblPr>
        <w:tblStyle w:val="740"/>
        <w:tblW w:w="0" w:type="auto"/>
        <w:tblBorders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Role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Name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Signature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Date</w:t>
            </w:r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Product owner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Technical lead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>
              <w:t xml:space="preserve">Security reviewer</w:t>
            </w:r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r/>
          </w:p>
        </w:tc>
        <w:tc>
          <w:tcPr>
            <w:tcBorders/>
          </w:tcPr>
          <w:p>
            <w:pPr>
              <w:pStyle w:val="708"/>
              <w:pBdr/>
              <w:spacing/>
              <w:ind/>
              <w:rPr/>
            </w:pPr>
            <w:r/>
            <w:bookmarkEnd w:id="58"/>
            <w:r/>
          </w:p>
        </w:tc>
      </w:tr>
    </w:tbl>
    <w:p w14:paraId="1A875584">
      <w:pPr>
        <w:pBdr/>
        <w:spacing/>
        <w:ind/>
        <w:rPr/>
      </w:pPr>
      <w:r/>
    </w:p>
    <w:sectPr>
      <w:footnotePr>
        <w:numRestart w:val="eachSect"/>
      </w:footnotePr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1">
    <w:nsid w:val="0000A9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2">
    <w:nsid w:val="00A994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163">
    <w:name w:val="Quote"/>
    <w:basedOn w:val="705"/>
    <w:next w:val="70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3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05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5"/>
    <w:next w:val="70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3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5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39"/>
    <w:link w:val="176"/>
    <w:uiPriority w:val="99"/>
    <w:pPr>
      <w:pBdr/>
      <w:spacing/>
      <w:ind/>
    </w:pPr>
  </w:style>
  <w:style w:type="paragraph" w:styleId="178">
    <w:name w:val="Footer"/>
    <w:basedOn w:val="705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39"/>
    <w:link w:val="178"/>
    <w:uiPriority w:val="99"/>
    <w:pPr>
      <w:pBdr/>
      <w:spacing/>
      <w:ind/>
    </w:pPr>
  </w:style>
  <w:style w:type="character" w:styleId="182">
    <w:name w:val="Footnote Text Char"/>
    <w:basedOn w:val="739"/>
    <w:link w:val="737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70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9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5"/>
    <w:next w:val="705"/>
    <w:uiPriority w:val="39"/>
    <w:unhideWhenUsed/>
    <w:pPr>
      <w:pBdr/>
      <w:spacing w:after="100"/>
      <w:ind/>
    </w:pPr>
  </w:style>
  <w:style w:type="paragraph" w:styleId="190">
    <w:name w:val="toc 2"/>
    <w:basedOn w:val="705"/>
    <w:next w:val="705"/>
    <w:uiPriority w:val="39"/>
    <w:unhideWhenUsed/>
    <w:pPr>
      <w:pBdr/>
      <w:spacing w:after="100"/>
      <w:ind w:left="220"/>
    </w:pPr>
  </w:style>
  <w:style w:type="paragraph" w:styleId="191">
    <w:name w:val="toc 3"/>
    <w:basedOn w:val="705"/>
    <w:next w:val="705"/>
    <w:uiPriority w:val="39"/>
    <w:unhideWhenUsed/>
    <w:pPr>
      <w:pBdr/>
      <w:spacing w:after="100"/>
      <w:ind w:left="440"/>
    </w:pPr>
  </w:style>
  <w:style w:type="paragraph" w:styleId="192">
    <w:name w:val="toc 4"/>
    <w:basedOn w:val="705"/>
    <w:next w:val="705"/>
    <w:uiPriority w:val="39"/>
    <w:unhideWhenUsed/>
    <w:pPr>
      <w:pBdr/>
      <w:spacing w:after="100"/>
      <w:ind w:left="660"/>
    </w:pPr>
  </w:style>
  <w:style w:type="paragraph" w:styleId="193">
    <w:name w:val="toc 5"/>
    <w:basedOn w:val="705"/>
    <w:next w:val="705"/>
    <w:uiPriority w:val="39"/>
    <w:unhideWhenUsed/>
    <w:pPr>
      <w:pBdr/>
      <w:spacing w:after="100"/>
      <w:ind w:left="880"/>
    </w:pPr>
  </w:style>
  <w:style w:type="paragraph" w:styleId="194">
    <w:name w:val="toc 6"/>
    <w:basedOn w:val="705"/>
    <w:next w:val="705"/>
    <w:uiPriority w:val="39"/>
    <w:unhideWhenUsed/>
    <w:pPr>
      <w:pBdr/>
      <w:spacing w:after="100"/>
      <w:ind w:left="1100"/>
    </w:pPr>
  </w:style>
  <w:style w:type="paragraph" w:styleId="195">
    <w:name w:val="toc 7"/>
    <w:basedOn w:val="705"/>
    <w:next w:val="705"/>
    <w:uiPriority w:val="39"/>
    <w:unhideWhenUsed/>
    <w:pPr>
      <w:pBdr/>
      <w:spacing w:after="100"/>
      <w:ind w:left="1320"/>
    </w:pPr>
  </w:style>
  <w:style w:type="paragraph" w:styleId="196">
    <w:name w:val="toc 8"/>
    <w:basedOn w:val="705"/>
    <w:next w:val="705"/>
    <w:uiPriority w:val="39"/>
    <w:unhideWhenUsed/>
    <w:pPr>
      <w:pBdr/>
      <w:spacing w:after="100"/>
      <w:ind w:left="1540"/>
    </w:pPr>
  </w:style>
  <w:style w:type="paragraph" w:styleId="197">
    <w:name w:val="toc 9"/>
    <w:basedOn w:val="705"/>
    <w:next w:val="70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9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05"/>
    <w:next w:val="705"/>
    <w:uiPriority w:val="99"/>
    <w:unhideWhenUsed/>
    <w:pPr>
      <w:pBdr/>
      <w:spacing w:after="0" w:afterAutospacing="0"/>
      <w:ind/>
    </w:pPr>
  </w:style>
  <w:style w:type="paragraph" w:styleId="705" w:default="1">
    <w:name w:val="Normal"/>
    <w:qFormat/>
    <w:pPr>
      <w:pBdr/>
      <w:spacing/>
      <w:ind/>
    </w:pPr>
  </w:style>
  <w:style w:type="paragraph" w:styleId="706">
    <w:name w:val="Body Text"/>
    <w:basedOn w:val="705"/>
    <w:link w:val="748"/>
    <w:qFormat/>
    <w:pPr>
      <w:pBdr/>
      <w:spacing w:after="180" w:before="180"/>
      <w:ind/>
    </w:pPr>
  </w:style>
  <w:style w:type="paragraph" w:styleId="707" w:customStyle="1">
    <w:name w:val="First Paragraph"/>
    <w:basedOn w:val="706"/>
    <w:next w:val="706"/>
    <w:qFormat/>
    <w:pPr>
      <w:pBdr/>
      <w:spacing/>
      <w:ind/>
    </w:pPr>
  </w:style>
  <w:style w:type="paragraph" w:styleId="708" w:customStyle="1">
    <w:name w:val="Compact"/>
    <w:basedOn w:val="706"/>
    <w:qFormat/>
    <w:pPr>
      <w:pBdr/>
      <w:spacing w:after="36" w:before="36"/>
      <w:ind/>
    </w:pPr>
  </w:style>
  <w:style w:type="paragraph" w:styleId="709">
    <w:name w:val="Title"/>
    <w:basedOn w:val="705"/>
    <w:next w:val="706"/>
    <w:link w:val="710"/>
    <w:uiPriority w:val="10"/>
    <w:qFormat/>
    <w:pPr>
      <w:pBdr/>
      <w:spacing w:after="8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710" w:customStyle="1">
    <w:name w:val="Title Char"/>
    <w:basedOn w:val="739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sz w:val="56"/>
      <w:szCs w:val="56"/>
    </w:rPr>
  </w:style>
  <w:style w:type="paragraph" w:styleId="711">
    <w:name w:val="Subtitle"/>
    <w:basedOn w:val="709"/>
    <w:next w:val="706"/>
    <w:link w:val="71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spacing w:val="15"/>
      <w:sz w:val="28"/>
      <w:szCs w:val="28"/>
    </w:rPr>
  </w:style>
  <w:style w:type="character" w:styleId="712" w:customStyle="1">
    <w:name w:val="Subtitle Char"/>
    <w:basedOn w:val="739"/>
    <w:link w:val="71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13" w:customStyle="1">
    <w:name w:val="Author"/>
    <w:basedOn w:val="709"/>
    <w:next w:val="706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14">
    <w:name w:val="Date"/>
    <w:basedOn w:val="709"/>
    <w:next w:val="706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15" w:customStyle="1">
    <w:name w:val="Abstract Title"/>
    <w:basedOn w:val="705"/>
    <w:next w:val="716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type="paragraph" w:styleId="716" w:customStyle="1">
    <w:name w:val="Abstract"/>
    <w:basedOn w:val="705"/>
    <w:next w:val="706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17">
    <w:name w:val="Bibliography"/>
    <w:basedOn w:val="705"/>
    <w:next w:val="717"/>
    <w:qFormat/>
    <w:pPr>
      <w:pBdr/>
      <w:spacing/>
      <w:ind/>
    </w:pPr>
  </w:style>
  <w:style w:type="paragraph" w:styleId="718">
    <w:name w:val="Heading 1"/>
    <w:basedOn w:val="705"/>
    <w:next w:val="706"/>
    <w:link w:val="72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19">
    <w:name w:val="Heading 2"/>
    <w:basedOn w:val="705"/>
    <w:next w:val="706"/>
    <w:link w:val="72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0">
    <w:name w:val="Heading 3"/>
    <w:basedOn w:val="705"/>
    <w:next w:val="706"/>
    <w:link w:val="72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1">
    <w:name w:val="Heading 4"/>
    <w:basedOn w:val="705"/>
    <w:next w:val="706"/>
    <w:link w:val="73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2">
    <w:name w:val="Heading 5"/>
    <w:basedOn w:val="705"/>
    <w:next w:val="706"/>
    <w:link w:val="73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23">
    <w:name w:val="Heading 6"/>
    <w:basedOn w:val="705"/>
    <w:next w:val="706"/>
    <w:link w:val="73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24">
    <w:name w:val="Heading 7"/>
    <w:basedOn w:val="705"/>
    <w:next w:val="706"/>
    <w:link w:val="73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25">
    <w:name w:val="Heading 8"/>
    <w:basedOn w:val="705"/>
    <w:next w:val="706"/>
    <w:link w:val="73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26">
    <w:name w:val="Heading 9"/>
    <w:basedOn w:val="705"/>
    <w:next w:val="706"/>
    <w:link w:val="73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27" w:customStyle="1">
    <w:name w:val="Heading 1 Char"/>
    <w:basedOn w:val="739"/>
    <w:link w:val="71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28" w:customStyle="1">
    <w:name w:val="Heading 2 Char"/>
    <w:basedOn w:val="739"/>
    <w:link w:val="71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29" w:customStyle="1">
    <w:name w:val="Heading 3 Char"/>
    <w:basedOn w:val="739"/>
    <w:link w:val="72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30" w:customStyle="1">
    <w:name w:val="Heading 4 Char"/>
    <w:basedOn w:val="739"/>
    <w:link w:val="72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31" w:customStyle="1">
    <w:name w:val="Heading 5 Char"/>
    <w:basedOn w:val="739"/>
    <w:link w:val="72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32" w:customStyle="1">
    <w:name w:val="Heading 6 Char"/>
    <w:basedOn w:val="739"/>
    <w:link w:val="72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33" w:customStyle="1">
    <w:name w:val="Heading 7 Char"/>
    <w:basedOn w:val="739"/>
    <w:link w:val="72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34" w:customStyle="1">
    <w:name w:val="Heading 8 Char"/>
    <w:basedOn w:val="739"/>
    <w:link w:val="72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35" w:customStyle="1">
    <w:name w:val="Heading 9 Char"/>
    <w:basedOn w:val="739"/>
    <w:link w:val="72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36">
    <w:name w:val="Block Text"/>
    <w:basedOn w:val="706"/>
    <w:next w:val="706"/>
    <w:uiPriority w:val="9"/>
    <w:unhideWhenUsed/>
    <w:qFormat/>
    <w:pPr>
      <w:pBdr/>
      <w:spacing w:after="100" w:before="100"/>
      <w:ind w:right="480" w:firstLine="0" w:left="480"/>
    </w:pPr>
  </w:style>
  <w:style w:type="paragraph" w:styleId="737">
    <w:name w:val="footnote text"/>
    <w:basedOn w:val="705"/>
    <w:next w:val="737"/>
    <w:uiPriority w:val="9"/>
    <w:unhideWhenUsed/>
    <w:qFormat/>
    <w:pPr>
      <w:pBdr/>
      <w:spacing/>
      <w:ind/>
    </w:pPr>
  </w:style>
  <w:style w:type="paragraph" w:styleId="738">
    <w:name w:val="Footnote Block Text"/>
    <w:basedOn w:val="737"/>
    <w:next w:val="737"/>
    <w:uiPriority w:val="9"/>
    <w:unhideWhenUsed/>
    <w:qFormat/>
    <w:pPr>
      <w:pBdr/>
      <w:spacing w:after="100" w:before="100"/>
      <w:ind w:right="480" w:firstLine="0" w:left="480"/>
    </w:pPr>
  </w:style>
  <w:style w:type="character" w:styleId="739" w:default="1">
    <w:name w:val="Default Paragraph Font"/>
    <w:semiHidden/>
    <w:unhideWhenUsed/>
    <w:pPr>
      <w:pBdr/>
      <w:spacing/>
      <w:ind/>
    </w:pPr>
  </w:style>
  <w:style w:type="table" w:styleId="740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w="0" w:type="dxa"/>
        <w:tblBorders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41" w:customStyle="1">
    <w:name w:val="Definition Term"/>
    <w:basedOn w:val="705"/>
    <w:next w:val="742"/>
    <w:pPr>
      <w:keepNext w:val="true"/>
      <w:keepLines w:val="true"/>
      <w:pBdr/>
      <w:spacing w:after="0"/>
      <w:ind/>
    </w:pPr>
    <w:rPr>
      <w:b/>
    </w:rPr>
  </w:style>
  <w:style w:type="paragraph" w:styleId="742" w:customStyle="1">
    <w:name w:val="Definition"/>
    <w:basedOn w:val="705"/>
    <w:pPr>
      <w:pBdr/>
      <w:spacing/>
      <w:ind/>
    </w:pPr>
  </w:style>
  <w:style w:type="paragraph" w:styleId="743">
    <w:name w:val="Caption"/>
    <w:basedOn w:val="705"/>
    <w:link w:val="748"/>
    <w:pPr>
      <w:pBdr/>
      <w:spacing w:after="120" w:before="0"/>
      <w:ind/>
    </w:pPr>
    <w:rPr>
      <w:i/>
    </w:rPr>
  </w:style>
  <w:style w:type="paragraph" w:styleId="744" w:customStyle="1">
    <w:name w:val="Table Caption"/>
    <w:basedOn w:val="743"/>
    <w:pPr>
      <w:keepNext w:val="true"/>
      <w:pBdr/>
      <w:spacing/>
      <w:ind/>
    </w:pPr>
  </w:style>
  <w:style w:type="paragraph" w:styleId="745" w:customStyle="1">
    <w:name w:val="Image Caption"/>
    <w:basedOn w:val="743"/>
    <w:pPr>
      <w:pBdr/>
      <w:spacing/>
      <w:ind/>
    </w:pPr>
  </w:style>
  <w:style w:type="paragraph" w:styleId="746" w:customStyle="1">
    <w:name w:val="Figure"/>
    <w:basedOn w:val="705"/>
    <w:pPr>
      <w:pBdr/>
      <w:spacing/>
      <w:ind/>
    </w:pPr>
  </w:style>
  <w:style w:type="paragraph" w:styleId="747" w:customStyle="1">
    <w:name w:val="Captioned Figure"/>
    <w:basedOn w:val="746"/>
    <w:pPr>
      <w:keepNext w:val="true"/>
      <w:pBdr/>
      <w:spacing/>
      <w:ind/>
    </w:pPr>
  </w:style>
  <w:style w:type="character" w:styleId="748" w:customStyle="1">
    <w:name w:val="Body Text Char"/>
    <w:basedOn w:val="739"/>
    <w:link w:val="706"/>
    <w:pPr>
      <w:pBdr/>
      <w:spacing/>
      <w:ind/>
    </w:pPr>
  </w:style>
  <w:style w:type="character" w:styleId="749" w:customStyle="1">
    <w:name w:val="Verbatim Char"/>
    <w:basedOn w:val="748"/>
    <w:pPr>
      <w:pBdr/>
      <w:spacing/>
      <w:ind/>
    </w:pPr>
    <w:rPr>
      <w:rFonts w:ascii="Consolas" w:hAnsi="Consolas"/>
      <w:sz w:val="22"/>
    </w:rPr>
  </w:style>
  <w:style w:type="character" w:styleId="750" w:customStyle="1">
    <w:name w:val="Section Number"/>
    <w:basedOn w:val="748"/>
    <w:pPr>
      <w:pBdr/>
      <w:spacing/>
      <w:ind/>
    </w:pPr>
  </w:style>
  <w:style w:type="character" w:styleId="751">
    <w:name w:val="footnote reference"/>
    <w:basedOn w:val="748"/>
    <w:pPr>
      <w:pBdr/>
      <w:spacing/>
      <w:ind/>
    </w:pPr>
    <w:rPr>
      <w:vertAlign w:val="superscript"/>
    </w:rPr>
  </w:style>
  <w:style w:type="character" w:styleId="752">
    <w:name w:val="Hyperlink"/>
    <w:basedOn w:val="748"/>
    <w:pPr>
      <w:pBdr/>
      <w:spacing/>
      <w:ind/>
    </w:pPr>
    <w:rPr>
      <w:color w:val="4f81bd" w:themeColor="accent1"/>
    </w:rPr>
  </w:style>
  <w:style w:type="paragraph" w:styleId="753">
    <w:name w:val="TOC Heading"/>
    <w:basedOn w:val="718"/>
    <w:next w:val="706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54" w:customStyle="1">
    <w:name w:val="Source Code"/>
    <w:basedOn w:val="705"/>
    <w:link w:val="749"/>
    <w:pPr>
      <w:pBdr/>
      <w:spacing/>
      <w:ind/>
    </w:pPr>
  </w:style>
  <w:style w:type="character" w:styleId="755" w:customStyle="1">
    <w:name w:val="KeywordTok"/>
    <w:basedOn w:val="749"/>
    <w:pPr>
      <w:pBdr/>
      <w:spacing/>
      <w:ind/>
    </w:pPr>
    <w:rPr>
      <w:b/>
      <w:color w:val="007020"/>
    </w:rPr>
  </w:style>
  <w:style w:type="character" w:styleId="756" w:customStyle="1">
    <w:name w:val="DataTypeTok"/>
    <w:basedOn w:val="749"/>
    <w:pPr>
      <w:pBdr/>
      <w:spacing/>
      <w:ind/>
    </w:pPr>
    <w:rPr>
      <w:color w:val="902000"/>
    </w:rPr>
  </w:style>
  <w:style w:type="character" w:styleId="757" w:customStyle="1">
    <w:name w:val="DecValTok"/>
    <w:basedOn w:val="749"/>
    <w:pPr>
      <w:pBdr/>
      <w:spacing/>
      <w:ind/>
    </w:pPr>
    <w:rPr>
      <w:color w:val="40a070"/>
    </w:rPr>
  </w:style>
  <w:style w:type="character" w:styleId="758" w:customStyle="1">
    <w:name w:val="BaseNTok"/>
    <w:basedOn w:val="749"/>
    <w:pPr>
      <w:pBdr/>
      <w:spacing/>
      <w:ind/>
    </w:pPr>
    <w:rPr>
      <w:color w:val="40a070"/>
    </w:rPr>
  </w:style>
  <w:style w:type="character" w:styleId="759" w:customStyle="1">
    <w:name w:val="FloatTok"/>
    <w:basedOn w:val="749"/>
    <w:pPr>
      <w:pBdr/>
      <w:spacing/>
      <w:ind/>
    </w:pPr>
    <w:rPr>
      <w:color w:val="40a070"/>
    </w:rPr>
  </w:style>
  <w:style w:type="character" w:styleId="760" w:customStyle="1">
    <w:name w:val="ConstantTok"/>
    <w:basedOn w:val="749"/>
    <w:pPr>
      <w:pBdr/>
      <w:spacing/>
      <w:ind/>
    </w:pPr>
    <w:rPr>
      <w:color w:val="880000"/>
    </w:rPr>
  </w:style>
  <w:style w:type="character" w:styleId="761" w:customStyle="1">
    <w:name w:val="CharTok"/>
    <w:basedOn w:val="749"/>
    <w:pPr>
      <w:pBdr/>
      <w:spacing/>
      <w:ind/>
    </w:pPr>
    <w:rPr>
      <w:color w:val="4070a0"/>
    </w:rPr>
  </w:style>
  <w:style w:type="character" w:styleId="762" w:customStyle="1">
    <w:name w:val="SpecialCharTok"/>
    <w:basedOn w:val="749"/>
    <w:pPr>
      <w:pBdr/>
      <w:spacing/>
      <w:ind/>
    </w:pPr>
    <w:rPr>
      <w:color w:val="4070a0"/>
    </w:rPr>
  </w:style>
  <w:style w:type="character" w:styleId="763" w:customStyle="1">
    <w:name w:val="StringTok"/>
    <w:basedOn w:val="749"/>
    <w:pPr>
      <w:pBdr/>
      <w:spacing/>
      <w:ind/>
    </w:pPr>
    <w:rPr>
      <w:color w:val="4070a0"/>
    </w:rPr>
  </w:style>
  <w:style w:type="character" w:styleId="764" w:customStyle="1">
    <w:name w:val="VerbatimStringTok"/>
    <w:basedOn w:val="749"/>
    <w:pPr>
      <w:pBdr/>
      <w:spacing/>
      <w:ind/>
    </w:pPr>
    <w:rPr>
      <w:color w:val="4070a0"/>
    </w:rPr>
  </w:style>
  <w:style w:type="character" w:styleId="765" w:customStyle="1">
    <w:name w:val="SpecialStringTok"/>
    <w:basedOn w:val="749"/>
    <w:pPr>
      <w:pBdr/>
      <w:spacing/>
      <w:ind/>
    </w:pPr>
    <w:rPr>
      <w:color w:val="bb6688"/>
    </w:rPr>
  </w:style>
  <w:style w:type="character" w:styleId="766" w:customStyle="1">
    <w:name w:val="ImportTok"/>
    <w:basedOn w:val="749"/>
    <w:pPr>
      <w:pBdr/>
      <w:spacing/>
      <w:ind/>
    </w:pPr>
    <w:rPr>
      <w:b/>
      <w:color w:val="008000"/>
    </w:rPr>
  </w:style>
  <w:style w:type="character" w:styleId="767" w:customStyle="1">
    <w:name w:val="CommentTok"/>
    <w:basedOn w:val="749"/>
    <w:pPr>
      <w:pBdr/>
      <w:spacing/>
      <w:ind/>
    </w:pPr>
    <w:rPr>
      <w:i/>
      <w:color w:val="60a0b0"/>
    </w:rPr>
  </w:style>
  <w:style w:type="character" w:styleId="768" w:customStyle="1">
    <w:name w:val="DocumentationTok"/>
    <w:basedOn w:val="749"/>
    <w:pPr>
      <w:pBdr/>
      <w:spacing/>
      <w:ind/>
    </w:pPr>
    <w:rPr>
      <w:i/>
      <w:color w:val="ba2121"/>
    </w:rPr>
  </w:style>
  <w:style w:type="character" w:styleId="769" w:customStyle="1">
    <w:name w:val="AnnotationTok"/>
    <w:basedOn w:val="749"/>
    <w:pPr>
      <w:pBdr/>
      <w:spacing/>
      <w:ind/>
    </w:pPr>
    <w:rPr>
      <w:b/>
      <w:i/>
      <w:color w:val="60a0b0"/>
    </w:rPr>
  </w:style>
  <w:style w:type="character" w:styleId="770" w:customStyle="1">
    <w:name w:val="CommentVarTok"/>
    <w:basedOn w:val="749"/>
    <w:pPr>
      <w:pBdr/>
      <w:spacing/>
      <w:ind/>
    </w:pPr>
    <w:rPr>
      <w:b/>
      <w:i/>
      <w:color w:val="60a0b0"/>
    </w:rPr>
  </w:style>
  <w:style w:type="character" w:styleId="771" w:customStyle="1">
    <w:name w:val="OtherTok"/>
    <w:basedOn w:val="749"/>
    <w:pPr>
      <w:pBdr/>
      <w:spacing/>
      <w:ind/>
    </w:pPr>
    <w:rPr>
      <w:color w:val="007020"/>
    </w:rPr>
  </w:style>
  <w:style w:type="character" w:styleId="772" w:customStyle="1">
    <w:name w:val="FunctionTok"/>
    <w:basedOn w:val="749"/>
    <w:pPr>
      <w:pBdr/>
      <w:spacing/>
      <w:ind/>
    </w:pPr>
    <w:rPr>
      <w:color w:val="06287e"/>
    </w:rPr>
  </w:style>
  <w:style w:type="character" w:styleId="773" w:customStyle="1">
    <w:name w:val="VariableTok"/>
    <w:basedOn w:val="749"/>
    <w:pPr>
      <w:pBdr/>
      <w:spacing/>
      <w:ind/>
    </w:pPr>
    <w:rPr>
      <w:color w:val="19177c"/>
    </w:rPr>
  </w:style>
  <w:style w:type="character" w:styleId="774" w:customStyle="1">
    <w:name w:val="ControlFlowTok"/>
    <w:basedOn w:val="749"/>
    <w:pPr>
      <w:pBdr/>
      <w:spacing/>
      <w:ind/>
    </w:pPr>
    <w:rPr>
      <w:b/>
      <w:color w:val="007020"/>
    </w:rPr>
  </w:style>
  <w:style w:type="character" w:styleId="775" w:customStyle="1">
    <w:name w:val="OperatorTok"/>
    <w:basedOn w:val="749"/>
    <w:pPr>
      <w:pBdr/>
      <w:spacing/>
      <w:ind/>
    </w:pPr>
    <w:rPr>
      <w:color w:val="666666"/>
    </w:rPr>
  </w:style>
  <w:style w:type="character" w:styleId="776" w:customStyle="1">
    <w:name w:val="BuiltInTok"/>
    <w:basedOn w:val="749"/>
    <w:pPr>
      <w:pBdr/>
      <w:spacing/>
      <w:ind/>
    </w:pPr>
    <w:rPr>
      <w:color w:val="008000"/>
    </w:rPr>
  </w:style>
  <w:style w:type="character" w:styleId="777" w:customStyle="1">
    <w:name w:val="ExtensionTok"/>
    <w:basedOn w:val="749"/>
    <w:pPr>
      <w:pBdr/>
      <w:spacing/>
      <w:ind/>
    </w:pPr>
  </w:style>
  <w:style w:type="character" w:styleId="778" w:customStyle="1">
    <w:name w:val="PreprocessorTok"/>
    <w:basedOn w:val="749"/>
    <w:pPr>
      <w:pBdr/>
      <w:spacing/>
      <w:ind/>
    </w:pPr>
    <w:rPr>
      <w:color w:val="bc7a00"/>
    </w:rPr>
  </w:style>
  <w:style w:type="character" w:styleId="779" w:customStyle="1">
    <w:name w:val="AttributeTok"/>
    <w:basedOn w:val="749"/>
    <w:pPr>
      <w:pBdr/>
      <w:spacing/>
      <w:ind/>
    </w:pPr>
    <w:rPr>
      <w:color w:val="7d9029"/>
    </w:rPr>
  </w:style>
  <w:style w:type="character" w:styleId="780" w:customStyle="1">
    <w:name w:val="RegionMarkerTok"/>
    <w:basedOn w:val="749"/>
    <w:pPr>
      <w:pBdr/>
      <w:spacing/>
      <w:ind/>
    </w:pPr>
  </w:style>
  <w:style w:type="character" w:styleId="781" w:customStyle="1">
    <w:name w:val="InformationTok"/>
    <w:basedOn w:val="749"/>
    <w:pPr>
      <w:pBdr/>
      <w:spacing/>
      <w:ind/>
    </w:pPr>
    <w:rPr>
      <w:b/>
      <w:i/>
      <w:color w:val="60a0b0"/>
    </w:rPr>
  </w:style>
  <w:style w:type="character" w:styleId="782" w:customStyle="1">
    <w:name w:val="WarningTok"/>
    <w:basedOn w:val="749"/>
    <w:pPr>
      <w:pBdr/>
      <w:spacing/>
      <w:ind/>
    </w:pPr>
    <w:rPr>
      <w:b/>
      <w:i/>
      <w:color w:val="60a0b0"/>
    </w:rPr>
  </w:style>
  <w:style w:type="character" w:styleId="783" w:customStyle="1">
    <w:name w:val="AlertTok"/>
    <w:basedOn w:val="749"/>
    <w:pPr>
      <w:pBdr/>
      <w:spacing/>
      <w:ind/>
    </w:pPr>
    <w:rPr>
      <w:b/>
      <w:color w:val="ff0000"/>
    </w:rPr>
  </w:style>
  <w:style w:type="character" w:styleId="784" w:customStyle="1">
    <w:name w:val="ErrorTok"/>
    <w:basedOn w:val="749"/>
    <w:pPr>
      <w:pBdr/>
      <w:spacing/>
      <w:ind/>
    </w:pPr>
    <w:rPr>
      <w:b/>
      <w:color w:val="ff0000"/>
    </w:rPr>
  </w:style>
  <w:style w:type="character" w:styleId="785" w:customStyle="1">
    <w:name w:val="NormalTok"/>
    <w:basedOn w:val="74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Manager — System Design Document</dc:title>
  <dc:creator>Trevor Taks</dc:creator>
  <cp:keywords/>
  <cp:revision>1</cp:revision>
  <dcterms:created xsi:type="dcterms:W3CDTF">2026-08-05T08:10:19Z</dcterms:created>
  <dcterms:modified xsi:type="dcterms:W3CDTF">2026-08-05T09:02:47Z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5 August 2026 — Version 1.0</vt:lpwstr>
  </property>
  <property fmtid="{D5CDD505-2E9C-101B-9397-08002B2CF9AE}" pid="3" name="subtitle">
    <vt:lpwstr>Multi-channel Campaign Management Platform (SMS · Email · WhatsApp)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