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caps/>
          <w:sz w:val="24"/>
          <w:b/>
          <w:sz w:val="24"/>
          <w:b/>
          <w:color w:val="00B050"/>
        </w:rPr>
      </w:pPr>
      <w:r>
        <w:rPr>
          <w:b/>
          <w:caps/>
          <w:color w:val="00B050"/>
          <w:sz w:val="24"/>
        </w:rPr>
        <w:t>This page is for indexing. Please complete for each author.</w:t>
      </w:r>
      <w:r/>
    </w:p>
    <w:p>
      <w:pPr>
        <w:pStyle w:val="Normal"/>
        <w:spacing w:lineRule="auto" w:line="240"/>
        <w:ind w:hanging="0"/>
        <w:jc w:val="center"/>
        <w:rPr>
          <w:u w:val="single"/>
        </w:rPr>
      </w:pPr>
      <w:r>
        <w:rPr/>
        <w:t>For additional details please see the</w:t>
      </w:r>
      <w:hyperlink r:id="rId2">
        <w:r>
          <w:rPr>
            <w:rStyle w:val="InternetLink"/>
          </w:rPr>
          <w:t xml:space="preserve"> ASABE Guide for Authors.</w:t>
        </w:r>
      </w:hyperlink>
      <w:r>
        <w:rPr/>
        <w:t xml:space="preserve"> </w:t>
      </w:r>
      <w:r/>
    </w:p>
    <w:p>
      <w:pPr>
        <w:pStyle w:val="Authors"/>
      </w:pPr>
      <w:bookmarkStart w:id="0" w:name="_Toc303768640"/>
      <w:bookmarkStart w:id="1" w:name="_Toc303761300"/>
      <w:bookmarkStart w:id="2" w:name="_Toc303760664"/>
      <w:bookmarkEnd w:id="0"/>
      <w:bookmarkEnd w:id="1"/>
      <w:bookmarkEnd w:id="2"/>
      <w:r>
        <w:rPr/>
        <w:t>Author</w:t>
      </w:r>
      <w:r/>
    </w:p>
    <w:tbl>
      <w:tblPr>
        <w:tblW w:w="1036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722"/>
        <w:gridCol w:w="1438"/>
        <w:gridCol w:w="2068"/>
        <w:gridCol w:w="1630"/>
        <w:gridCol w:w="2280"/>
        <w:gridCol w:w="1229"/>
      </w:tblGrid>
      <w:tr>
        <w:trPr/>
        <w:tc>
          <w:tcPr>
            <w:tcW w:w="1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First Name or initial</w:t>
            </w:r>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Middle Name or initial</w:t>
            </w:r>
            <w:r/>
          </w:p>
        </w:tc>
        <w:tc>
          <w:tcPr>
            <w:tcW w:w="2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Surname</w:t>
            </w:r>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Role (ASABE member, professor, etc.)</w:t>
            </w:r>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E-mail (and phone for contact author)</w:t>
            </w:r>
            <w:r/>
          </w:p>
        </w:tc>
        <w:tc>
          <w:tcPr>
            <w:tcW w:w="1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 xml:space="preserve">Contact </w:t>
              <w:br/>
              <w:t xml:space="preserve">author? </w:t>
              <w:br/>
              <w:t>yes or no</w:t>
            </w:r>
            <w:r/>
          </w:p>
        </w:tc>
      </w:tr>
      <w:tr>
        <w:trPr/>
        <w:tc>
          <w:tcPr>
            <w:tcW w:w="1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Trevor</w:t>
            </w:r>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Philip</w:t>
            </w:r>
            <w:r/>
          </w:p>
        </w:tc>
        <w:tc>
          <w:tcPr>
            <w:tcW w:w="2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Stanhope</w:t>
            </w:r>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ASABE Member</w:t>
            </w:r>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Trevor.stanhope@mail.mcgill.ca</w:t>
            </w:r>
            <w:r/>
          </w:p>
        </w:tc>
        <w:tc>
          <w:tcPr>
            <w:tcW w:w="1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no</w:t>
            </w:r>
            <w:r/>
          </w:p>
        </w:tc>
      </w:tr>
    </w:tbl>
    <w:p>
      <w:pPr>
        <w:pStyle w:val="Affiliation"/>
      </w:pPr>
      <w:r>
        <w:rPr/>
        <w:t>Affiliation</w:t>
      </w:r>
      <w:r/>
    </w:p>
    <w:tbl>
      <w:tblPr>
        <w:tblW w:w="1036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489"/>
        <w:gridCol w:w="3282"/>
        <w:gridCol w:w="2070"/>
        <w:gridCol w:w="2522"/>
      </w:tblGrid>
      <w:tr>
        <w:trPr/>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Organization</w:t>
            </w:r>
            <w:r/>
          </w:p>
        </w:tc>
        <w:tc>
          <w:tcPr>
            <w:tcW w:w="3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Address</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Country</w:t>
            </w:r>
            <w:r/>
          </w:p>
        </w:tc>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URL or other info.</w:t>
            </w:r>
            <w:r/>
          </w:p>
        </w:tc>
      </w:tr>
      <w:tr>
        <w:trPr/>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McGill University</w:t>
            </w:r>
            <w:r/>
          </w:p>
        </w:tc>
        <w:tc>
          <w:tcPr>
            <w:tcW w:w="3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21111 Lakeshore Road, Sainte-Anne-de-Bellevue, QC</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Canada</w:t>
            </w:r>
            <w:r/>
          </w:p>
        </w:tc>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sz w:val="20"/>
                <w:sz w:val="20"/>
                <w:szCs w:val="20"/>
                <w:rFonts w:ascii="Times New Roman" w:hAnsi="Times New Roman" w:eastAsia="Calibri" w:cs="Times New Roman"/>
                <w:color w:val="00000A"/>
                <w:lang w:val="en-US" w:eastAsia="en-US" w:bidi="ar-SA"/>
              </w:rPr>
            </w:pPr>
            <w:r>
              <w:rPr>
                <w:rFonts w:eastAsia="Calibri"/>
              </w:rPr>
            </w:r>
            <w:r/>
          </w:p>
        </w:tc>
      </w:tr>
    </w:tbl>
    <w:p>
      <w:pPr>
        <w:pStyle w:val="Authors"/>
        <w:rPr>
          <w:i/>
          <w:i/>
          <w:lang w:val="en-US"/>
        </w:rPr>
      </w:pPr>
      <w:r>
        <w:rPr/>
        <w:t>Author</w:t>
      </w:r>
      <w:r>
        <w:rPr>
          <w:lang w:val="en-US"/>
        </w:rPr>
        <w:t xml:space="preserve"> </w:t>
      </w:r>
      <w:r>
        <w:rPr>
          <w:i/>
          <w:color w:val="00B050"/>
          <w:lang w:val="en-US"/>
        </w:rPr>
        <w:t>(repeat Author and Affiliation tables for each author)</w:t>
      </w:r>
      <w:r/>
    </w:p>
    <w:tbl>
      <w:tblPr>
        <w:tblW w:w="1036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722"/>
        <w:gridCol w:w="1438"/>
        <w:gridCol w:w="2068"/>
        <w:gridCol w:w="1630"/>
        <w:gridCol w:w="2280"/>
        <w:gridCol w:w="1229"/>
      </w:tblGrid>
      <w:tr>
        <w:trPr/>
        <w:tc>
          <w:tcPr>
            <w:tcW w:w="1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First Name or initial</w:t>
            </w:r>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Middle Name or initial</w:t>
            </w:r>
            <w:r/>
          </w:p>
        </w:tc>
        <w:tc>
          <w:tcPr>
            <w:tcW w:w="2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Surname</w:t>
            </w:r>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Role (ASABE member, professor, etc.)</w:t>
            </w:r>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E-mail (and phone for contact author)</w:t>
            </w:r>
            <w:r/>
          </w:p>
        </w:tc>
        <w:tc>
          <w:tcPr>
            <w:tcW w:w="1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 xml:space="preserve">Contact </w:t>
              <w:br/>
              <w:t xml:space="preserve">author? </w:t>
              <w:br/>
              <w:t>yes or no</w:t>
            </w:r>
            <w:r/>
          </w:p>
        </w:tc>
      </w:tr>
      <w:tr>
        <w:trPr/>
        <w:tc>
          <w:tcPr>
            <w:tcW w:w="1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Viacheslav</w:t>
            </w:r>
            <w:r/>
          </w:p>
        </w:tc>
        <w:tc>
          <w:tcPr>
            <w:tcW w:w="1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sz w:val="20"/>
                <w:sz w:val="20"/>
                <w:szCs w:val="20"/>
                <w:rFonts w:ascii="Times New Roman" w:hAnsi="Times New Roman" w:eastAsia="Calibri" w:cs="Times New Roman"/>
                <w:color w:val="00000A"/>
                <w:lang w:val="en-US" w:eastAsia="en-US" w:bidi="ar-SA"/>
              </w:rPr>
            </w:pPr>
            <w:r>
              <w:rPr>
                <w:rFonts w:eastAsia="Calibri"/>
              </w:rPr>
            </w:r>
            <w:r/>
          </w:p>
        </w:tc>
        <w:tc>
          <w:tcPr>
            <w:tcW w:w="2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Adamchuk</w:t>
            </w:r>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Professor</w:t>
            </w:r>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Viacheslav.adamchuk@mcgill.ca</w:t>
            </w:r>
            <w:r/>
          </w:p>
        </w:tc>
        <w:tc>
          <w:tcPr>
            <w:tcW w:w="1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yes</w:t>
            </w:r>
            <w:r/>
          </w:p>
        </w:tc>
      </w:tr>
    </w:tbl>
    <w:p>
      <w:pPr>
        <w:pStyle w:val="Affiliation"/>
      </w:pPr>
      <w:r>
        <w:rPr/>
        <w:t>Affiliation</w:t>
      </w:r>
      <w:r/>
    </w:p>
    <w:tbl>
      <w:tblPr>
        <w:tblW w:w="1036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489"/>
        <w:gridCol w:w="3282"/>
        <w:gridCol w:w="2070"/>
        <w:gridCol w:w="2522"/>
      </w:tblGrid>
      <w:tr>
        <w:trPr/>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Organization</w:t>
            </w:r>
            <w:r/>
          </w:p>
        </w:tc>
        <w:tc>
          <w:tcPr>
            <w:tcW w:w="3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Address</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Country</w:t>
            </w:r>
            <w:r/>
          </w:p>
        </w:tc>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eastAsia="Calibri"/>
              </w:rPr>
            </w:pPr>
            <w:r>
              <w:rPr>
                <w:rFonts w:eastAsia="Calibri"/>
              </w:rPr>
              <w:t>URL or other info.</w:t>
            </w:r>
            <w:r/>
          </w:p>
        </w:tc>
      </w:tr>
      <w:tr>
        <w:trPr/>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McGill University</w:t>
            </w:r>
            <w:r/>
          </w:p>
        </w:tc>
        <w:tc>
          <w:tcPr>
            <w:tcW w:w="3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21111 Lakeshore Road, Sainte-Anne-de-Bellevue, QC</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rFonts w:ascii="Times New Roman" w:hAnsi="Times New Roman" w:eastAsia="Calibri"/>
              </w:rPr>
            </w:pPr>
            <w:r>
              <w:rPr>
                <w:rFonts w:eastAsia="Calibri"/>
              </w:rPr>
              <w:t>Canada</w:t>
            </w:r>
            <w:r/>
          </w:p>
        </w:tc>
        <w:tc>
          <w:tcPr>
            <w:tcW w:w="2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40" w:after="40"/>
              <w:ind w:hanging="0"/>
              <w:jc w:val="center"/>
              <w:rPr>
                <w:sz w:val="20"/>
                <w:sz w:val="20"/>
                <w:szCs w:val="20"/>
                <w:rFonts w:ascii="Times New Roman" w:hAnsi="Times New Roman" w:eastAsia="Calibri" w:cs="Times New Roman"/>
                <w:color w:val="00000A"/>
                <w:lang w:val="en-US" w:eastAsia="en-US" w:bidi="ar-SA"/>
              </w:rPr>
            </w:pPr>
            <w:r>
              <w:rPr>
                <w:rFonts w:eastAsia="Calibri"/>
              </w:rPr>
            </w:r>
            <w:r/>
          </w:p>
        </w:tc>
      </w:tr>
    </w:tbl>
    <w:p>
      <w:pPr>
        <w:pStyle w:val="Normal"/>
        <w:widowControl/>
        <w:spacing w:lineRule="auto" w:line="240"/>
        <w:ind w:hanging="0"/>
        <w:jc w:val="left"/>
        <w:rPr>
          <w:sz w:val="20"/>
          <w:sz w:val="20"/>
          <w:szCs w:val="20"/>
          <w:rFonts w:ascii="Times New Roman" w:hAnsi="Times New Roman" w:eastAsia="Times New Roman" w:cs="Times New Roman"/>
          <w:color w:val="00000A"/>
          <w:lang w:val="en-US" w:eastAsia="en-US" w:bidi="ar-SA"/>
        </w:rPr>
      </w:pPr>
      <w:r>
        <w:rPr>
          <w:rFonts w:eastAsia="Times New Roman"/>
        </w:rPr>
      </w:r>
      <w:r>
        <w:br w:type="page"/>
      </w:r>
      <w:r/>
    </w:p>
    <w:p>
      <w:pPr>
        <w:pStyle w:val="Title"/>
        <w:rPr>
          <w:smallCaps/>
          <w:sz w:val="36"/>
          <w:b w:val="false"/>
          <w:sz w:val="36"/>
          <w:b w:val="false"/>
          <w:szCs w:val="20"/>
          <w:rFonts w:ascii="Times New Roman Bold" w:hAnsi="Times New Roman Bold" w:eastAsia="Times New Roman" w:cs="Times New Roman"/>
          <w:color w:val="00000A"/>
          <w:lang w:val="x-none" w:eastAsia="x-none" w:bidi="ar-SA"/>
          <w14:ligatures w14:val="standard"/>
        </w:rPr>
      </w:pPr>
      <w:r>
        <w:rPr/>
        <w:t>A Low-cost system for integrating computer-vision guidance with inter-row cultivation</w:t>
      </w:r>
      <w:r/>
    </w:p>
    <w:p>
      <w:pPr>
        <w:pStyle w:val="Authors1"/>
      </w:pPr>
      <w:r>
        <w:rPr/>
        <w:t>T</w:t>
      </w:r>
      <w:r>
        <w:rPr/>
        <w:t xml:space="preserve">. </w:t>
      </w:r>
      <w:r>
        <w:rPr/>
        <w:t>P</w:t>
      </w:r>
      <w:r>
        <w:rPr/>
        <w:t xml:space="preserve">. </w:t>
      </w:r>
      <w:r>
        <w:rPr/>
        <w:t>Stanhope</w:t>
      </w:r>
      <w:r>
        <w:rPr/>
        <w:t xml:space="preserve">, </w:t>
      </w:r>
      <w:r>
        <w:rPr/>
        <w:t>V</w:t>
      </w:r>
      <w:r>
        <w:rPr/>
        <w:t xml:space="preserve">. </w:t>
      </w:r>
      <w:r>
        <w:rPr/>
        <w:t>I</w:t>
      </w:r>
      <w:r>
        <w:rPr/>
        <w:t xml:space="preserve">. </w:t>
      </w:r>
      <w:r>
        <w:rPr/>
        <w:t>Adamchuk</w:t>
      </w:r>
      <w:r/>
    </w:p>
    <w:p>
      <w:pPr>
        <w:pStyle w:val="Footnote"/>
      </w:pPr>
      <w:r>
        <w:rPr/>
        <w:t xml:space="preserve">The authors are </w:t>
      </w:r>
      <w:r>
        <w:rPr>
          <w:b/>
          <w:bCs/>
        </w:rPr>
        <w:t>Trevor P. Stanhope</w:t>
      </w:r>
      <w:r>
        <w:rPr>
          <w:b w:val="false"/>
          <w:bCs w:val="false"/>
        </w:rPr>
        <w:t xml:space="preserve">, </w:t>
      </w:r>
      <w:r>
        <w:rPr>
          <w:b w:val="false"/>
          <w:bCs w:val="false"/>
          <w:iCs/>
        </w:rPr>
        <w:t xml:space="preserve">ASABE Member, </w:t>
      </w:r>
      <w:r>
        <w:rPr>
          <w:b w:val="false"/>
          <w:bCs w:val="false"/>
        </w:rPr>
        <w:t>G</w:t>
      </w:r>
      <w:r>
        <w:rPr/>
        <w:t xml:space="preserve">raduate Student, and </w:t>
      </w:r>
      <w:r>
        <w:rPr>
          <w:b/>
          <w:bCs/>
        </w:rPr>
        <w:t>Dr. Viacheslav Adamchuk</w:t>
      </w:r>
      <w:r>
        <w:rPr>
          <w:b/>
          <w:bCs/>
        </w:rPr>
        <w:t>,</w:t>
      </w:r>
      <w:r>
        <w:rPr>
          <w:b/>
          <w:bCs/>
          <w:iCs/>
        </w:rPr>
        <w:t xml:space="preserve"> </w:t>
      </w:r>
      <w:r>
        <w:rPr>
          <w:b/>
          <w:bCs/>
          <w:iCs/>
        </w:rPr>
        <w:t>Associate Professor</w:t>
      </w:r>
      <w:r>
        <w:rPr/>
        <w:t xml:space="preserve">, Department of </w:t>
      </w:r>
      <w:r>
        <w:rPr/>
        <w:t>Bioresource</w:t>
      </w:r>
      <w:r>
        <w:rPr/>
        <w:t xml:space="preserve"> Engineering, </w:t>
      </w:r>
      <w:r>
        <w:rPr/>
        <w:t>McGill University</w:t>
      </w:r>
      <w:r>
        <w:rPr/>
        <w:t xml:space="preserve">, </w:t>
      </w:r>
      <w:r>
        <w:rPr/>
        <w:t>Sainte-Anne-de-Bellevue</w:t>
      </w:r>
      <w:r>
        <w:rPr/>
        <w:t xml:space="preserve">, </w:t>
      </w:r>
      <w:r>
        <w:rPr/>
        <w:t>QC</w:t>
      </w:r>
      <w:r>
        <w:rPr/>
        <w:t xml:space="preserve">, </w:t>
      </w:r>
      <w:r>
        <w:rPr/>
        <w:t>Canada</w:t>
      </w:r>
      <w:r>
        <w:rPr/>
        <w:t xml:space="preserve">. </w:t>
      </w:r>
      <w:r>
        <w:rPr>
          <w:b/>
        </w:rPr>
        <w:t>Corresponding author:</w:t>
      </w:r>
      <w:r>
        <w:rPr/>
        <w:t xml:space="preserve"> </w:t>
      </w:r>
      <w:r>
        <w:rPr/>
        <w:t>Dr. Viacheslav Adamchuk</w:t>
      </w:r>
      <w:r>
        <w:rPr/>
        <w:t xml:space="preserve">, </w:t>
      </w:r>
      <w:r>
        <w:rPr/>
        <w:t>McGill University, 21111 Lakeshore Road,  Sainte-Anne-de-Bellevue, Quebec, Canada;</w:t>
      </w:r>
      <w:r>
        <w:rPr/>
        <w:t xml:space="preserve"> phone: </w:t>
      </w:r>
      <w:r>
        <w:rPr/>
        <w:t>514-398-7657</w:t>
      </w:r>
      <w:r>
        <w:rPr/>
        <w:t xml:space="preserve">; e-mail: </w:t>
      </w:r>
      <w:r>
        <w:rPr/>
        <w:t>viacheslav.adamchuk@mcgill.ca</w:t>
      </w:r>
      <w:r>
        <w:rPr/>
        <w:t>.</w:t>
      </w:r>
      <w:r/>
    </w:p>
    <w:p>
      <w:pPr>
        <w:pStyle w:val="Abstract"/>
        <w:rPr>
          <w:smallCaps/>
          <w:i w:val="false"/>
          <w:b/>
          <w:i w:val="false"/>
          <w:b/>
          <w:rFonts w:ascii="Times New Roman Bold" w:hAnsi="Times New Roman Bold"/>
        </w:rPr>
      </w:pPr>
      <w:r>
        <w:rPr>
          <w:rFonts w:ascii="Times New Roman Bold" w:hAnsi="Times New Roman Bold"/>
          <w:b/>
          <w:bCs w:val="false"/>
          <w:i w:val="false"/>
          <w:smallCaps/>
        </w:rPr>
        <w:t>Abstract.</w:t>
      </w:r>
      <w:r/>
    </w:p>
    <w:p>
      <w:pPr>
        <w:pStyle w:val="Abstract"/>
        <w:rPr>
          <w:sz w:val="20"/>
          <w:i/>
          <w:sz w:val="20"/>
          <w:i/>
          <w:szCs w:val="20"/>
          <w:bCs/>
          <w:rFonts w:ascii="Times New Roman Italic" w:hAnsi="Times New Roman Italic" w:eastAsia="Times New Roman" w:cs="Times New Roman"/>
          <w:color w:val="00000A"/>
          <w:lang w:val="en-US" w:eastAsia="en-US" w:bidi="ar-SA"/>
        </w:rPr>
      </w:pPr>
      <w:r>
        <w:rPr/>
        <w:t>Management of organic row crops requires frequent in-field operations. Depending on the degree of soil conservation practices,  weed control necessitates tillage operations. Strip-tillage and cultivator implements require precise guidance systems to assure proper positioning of the working tools. Legacy systems have made use of mechanical guiding rods, however such systems perform poorly during the earliest stages of crop growth. Modern techniques based on RTK GPS are available commercially but are prohibitively expensive for small-scale operations. Therefore, the objective of this study was to develop a low-cost CCD  camera system which is capable of supplementing the mechanical row detection during inter-row cultivation. A computer-vision guidance system was developed for the Intel Atom  architecture to interface with an electro-hydraulic steering hitch system. Two redundant CCD cameras were mounted to the cultivator toolbar in-line with crop rows to obtain a video stream of the plants passing beneath the implement. The OpenCV platform was used to develop an algorithm for identifying the lateral offset of the plant rows and adjust the hydraulic steering accordingly via PID control. The computer-vision guidance system was tested successfully without GPS RTK assistance at travel speeds of 6, 8, 10, and 12 km/h in corn and soybean fields under varying ambient light and crop conditions.</w:t>
      </w:r>
      <w:r/>
    </w:p>
    <w:p>
      <w:pPr>
        <w:pStyle w:val="Keywords"/>
        <w:spacing w:before="60" w:after="0"/>
      </w:pPr>
      <w:r>
        <w:rPr>
          <w:b/>
          <w:bCs/>
        </w:rPr>
        <w:t>Keywords.</w:t>
      </w:r>
      <w:r/>
    </w:p>
    <w:p>
      <w:pPr>
        <w:pStyle w:val="Keywords"/>
        <w:rPr>
          <w:sz w:val="20"/>
          <w:i/>
          <w:sz w:val="20"/>
          <w:i/>
          <w:szCs w:val="20"/>
          <w:bCs w:val="false"/>
          <w:rFonts w:ascii="Times New Roman Italic" w:hAnsi="Times New Roman Italic" w:eastAsia="Times New Roman" w:cs="Times New Roman"/>
          <w:color w:val="00000A"/>
          <w:lang w:val="en-US" w:eastAsia="en-US" w:bidi="ar-SA"/>
        </w:rPr>
      </w:pPr>
      <w:r>
        <w:rPr/>
        <w:t>Computer-vision, inter-row cultivation, control system, hydraulic steering</w:t>
      </w:r>
      <w:r/>
    </w:p>
    <w:p>
      <w:pPr>
        <w:pStyle w:val="Heading1"/>
        <w:rPr>
          <w:smallCaps/>
          <w:sz w:val="28"/>
          <w:b/>
          <w:sz w:val="28"/>
          <w:b/>
          <w:szCs w:val="20"/>
          <w:rFonts w:ascii="Times New Roman Bold" w:hAnsi="Times New Roman Bold" w:eastAsia="Times New Roman" w:cs="Times New Roman"/>
          <w:color w:val="00000A"/>
          <w:lang w:val="x-none" w:eastAsia="x-none" w:bidi="ar-SA"/>
          <w14:ligatures w14:val="standard"/>
        </w:rPr>
      </w:pPr>
      <w:r>
        <w:rPr/>
        <w:t>Introduction</w:t>
      </w:r>
      <w:r/>
    </w:p>
    <w:p>
      <w:pPr>
        <w:pStyle w:val="Normal"/>
        <w:rPr>
          <w:sz w:val="20"/>
          <w:sz w:val="20"/>
          <w:szCs w:val="20"/>
          <w:rFonts w:ascii="Times New Roman" w:hAnsi="Times New Roman" w:eastAsia="Times New Roman" w:cs="Times New Roman"/>
          <w:color w:val="00000A"/>
          <w:lang w:val="en-US" w:eastAsia="en-US" w:bidi="ar-SA"/>
        </w:rPr>
      </w:pPr>
      <w:r>
        <w:rPr/>
        <w:t>Unlike conventional farming where herbicide application is the primary method for weed prevention, organic farmers must use tillage implements such as inter-row cultivators. Inter-row cultivation is a field operation which requires precise control of the implement in order to maximize the tillage area without causing damage to the crops. Cultivation is often conducted at speeds of up to 12 km/h with an error tolerance of only $\pm$5 cm. Although many organic farmers are equipped with RTK-level global navigation satellite systems (GNSS) for tractor steering, such systems are uncommon and expensive for guiding tillage implements. As such, many farmers prefer to use older, mechanically-guided tillage systems. A common method for mechanically-guided cultivators employs guiding rods (also known as brushes) which are mounted to a rotating voltage divider (\ref{guiding_rods}). These rods make contact with the crop stems and their position approximates that of the crop row. The resulting reference signal is fed to a hydraulic control system which adjusts the steering mechanism of the implement accordingly. Although these mechanically-guided systems are rugged and maintainable, the guiding rods perform poorly with seedlings. During the early stages of growth (e.g. $\le$15 cm), guiding rods have the potential to cause damage to the crop or lose track of the row, forcing operators to travel at speeds of less than 6 km/h. To address this issue, modern systems implement non-contact detection methods, such as a secondary RTK GNSS antennae or cameras, to estimate the lateral offset of the cultivator.</w:t>
      </w:r>
      <w:r/>
    </w:p>
    <w:p>
      <w:pPr>
        <w:pStyle w:val="Normal"/>
        <w:rPr>
          <w:sz w:val="20"/>
          <w:sz w:val="20"/>
          <w:szCs w:val="20"/>
          <w:rFonts w:ascii="Times New Roman" w:hAnsi="Times New Roman" w:eastAsia="Times New Roman" w:cs="Times New Roman"/>
          <w:color w:val="00000A"/>
          <w:lang w:val="en-US" w:eastAsia="en-US" w:bidi="ar-SA"/>
        </w:rPr>
      </w:pPr>
      <w:r>
        <w:rPr/>
        <w:t>Demand for high-precision tractor control has produced significant research interest over the past two decades. In addition to advances in global navigation satellite system (GNSS) guidance systems, research has demonstrated that mechanical and computer-vision systems can be implemented to detect the lateral offset of the crop rows relative to the tractor/implement with a high degree of reliability and accuracy \citep{tillett1991}. By integrating computer-vision systems into agricultural platforms, the precision of field operations can be improved. Research applications of computer-vision row detection have demonstrated that computer-vision guidance systems can be an effective approach for feedback and control of agricultural implements. Several different computer-vision methodologies have been proposed for identifying the position of the crop rows, including stereo-vision, Hough Line Transform, multispectral imaging, and band-pass analysis, among others. A common challenge faced by computer-vision systems is the determination of the distribution of plant foliage within the captured images and the subsequent differentiation between the crop row and soil/weeds, a process known as segmentation \citep{brivot1996}.</w:t>
      </w:r>
      <w:r/>
    </w:p>
    <w:p>
      <w:pPr>
        <w:pStyle w:val="Normal"/>
        <w:rPr>
          <w:sz w:val="20"/>
          <w:sz w:val="20"/>
          <w:szCs w:val="20"/>
          <w:rFonts w:ascii="Times New Roman" w:hAnsi="Times New Roman" w:eastAsia="Times New Roman" w:cs="Times New Roman"/>
          <w:color w:val="00000A"/>
          <w:lang w:val="en-US" w:eastAsia="en-US" w:bidi="ar-SA"/>
        </w:rPr>
      </w:pPr>
      <w:r>
        <w:rPr/>
        <w:t>With respect to the segmentation of green vegetation (e.g. for crop-row tracking or weed detection), a significant amount of research has been focused on developing robust color indices. Using unfiltered RGB data from CCD/CMOS cameras is not employed due to the high correlation between the three color channels. Research has shown that imaging a combination of bands in the visible and infra-red spectrum produces reliable results \citep{slaughter2008}, however this requires specialized camera systems. Therefore, when using RGB imaging systems conversion to an alternate color index is advantageous for plant segmentation. Crop-specific color-indices have been developed for agricultural application, such as Excess Green (ExG) \citet{woebbecke1995} and Vegetative index (VEG) \citep{hague2006}, while standard indices such Hue-Saturation-Value (HSV) have also seen implementation \citep{moorthy2015}.</w:t>
      </w:r>
      <w:r/>
    </w:p>
    <w:p>
      <w:pPr>
        <w:pStyle w:val="Normal"/>
        <w:rPr>
          <w:sz w:val="20"/>
          <w:sz w:val="20"/>
          <w:szCs w:val="20"/>
          <w:rFonts w:ascii="Times New Roman" w:hAnsi="Times New Roman" w:eastAsia="Times New Roman" w:cs="Times New Roman"/>
          <w:color w:val="00000A"/>
          <w:lang w:val="en-US" w:eastAsia="en-US" w:bidi="ar-SA"/>
        </w:rPr>
      </w:pPr>
      <w:r>
        <w:rPr/>
        <w:t>During the process of crop detection, varying ambient light is one of the major limiting factors for successfully implementing computer-vision guidance for weed control. Variations in the ambient light occur naturally with changes in weather and time of day, and can dramatically change the appearance of crop foliage, e.g. texture and color, in a digital image. Additionally, non-uniform lighting intensity, e.g. shadows, are also a major concern. Non-uniform lighting results in irregular variance in the intensity of pixels and thus increases the complexity of segmenting plants using color-indices.</w:t>
      </w:r>
      <w:r/>
    </w:p>
    <w:p>
      <w:pPr>
        <w:pStyle w:val="Normal"/>
        <w:rPr>
          <w:sz w:val="20"/>
          <w:sz w:val="20"/>
          <w:szCs w:val="20"/>
          <w:rFonts w:ascii="Times New Roman" w:hAnsi="Times New Roman" w:eastAsia="Times New Roman" w:cs="Times New Roman"/>
          <w:color w:val="00000A"/>
          <w:lang w:val="en-US" w:eastAsia="en-US" w:bidi="ar-SA"/>
        </w:rPr>
      </w:pPr>
      <w:r>
        <w:rPr/>
        <w:t>Therefore, a necessary component of any robust segmentation algorithm is the proper selection of threshold values to binarize the color-index image. Thresholding techniques proposed to  segment crop images include dynamic thresholding methods \citep{rovira2005}, Otsu-based thresholding methods \citep{meyer2008} and statistical mean-based segmentation of the image \citep{guijarro2011}. Although functional, these methods generally assume the histogram of the image to be bimodal and require the vegetation and background to belong to two different brightness regions.</w:t>
      </w:r>
      <w:r/>
    </w:p>
    <w:p>
      <w:pPr>
        <w:pStyle w:val="Normal"/>
        <w:rPr>
          <w:sz w:val="20"/>
          <w:sz w:val="20"/>
          <w:szCs w:val="20"/>
          <w:rFonts w:ascii="Times New Roman" w:hAnsi="Times New Roman" w:eastAsia="Times New Roman" w:cs="Times New Roman"/>
          <w:color w:val="00000A"/>
          <w:lang w:val="en-US" w:eastAsia="en-US" w:bidi="ar-SA"/>
        </w:rPr>
      </w:pPr>
      <w:r>
        <w:rPr/>
        <w:t>Although thresholding reduces errors due to varying ambient lighting, typically such methods experience reduced performance due to non-uniform illumination conditions. In recent years, research has been carried out on developing complex, yet efficient, algorithms for vegetation segmentation. Examples of such techniques include mean-shift-based learning procedure \citep{zheng2009}, Environmentally Adaptive Segmentation Algorithm (EASA) \citep{tian1998}, and a Naive Bayes learner using HSV, G-R and normalized RGB \citet{moorthy2015}.</w:t>
      </w:r>
      <w:r/>
    </w:p>
    <w:p>
      <w:pPr>
        <w:pStyle w:val="Normal"/>
        <w:rPr>
          <w:sz w:val="20"/>
          <w:sz w:val="20"/>
          <w:szCs w:val="20"/>
          <w:rFonts w:ascii="Times New Roman" w:hAnsi="Times New Roman" w:eastAsia="Times New Roman" w:cs="Times New Roman"/>
          <w:color w:val="00000A"/>
          <w:lang w:val="en-US" w:eastAsia="en-US" w:bidi="ar-SA"/>
        </w:rPr>
      </w:pPr>
      <w:r>
        <w:rPr/>
        <w:t xml:space="preserve">After segmentation of the plants within the image, it is necessary to determine the lateral offset of the crop row. Methods for determining the lateral offset can be grouped into two classes based on whether the camera’s angle of inclination is either equal to zero, or greater than zero; these classes are referred to as orthogonal or perspective, respectfully. </w:t>
      </w:r>
      <w:r/>
    </w:p>
    <w:p>
      <w:pPr>
        <w:pStyle w:val="Normal"/>
        <w:rPr>
          <w:sz w:val="20"/>
          <w:sz w:val="20"/>
          <w:szCs w:val="20"/>
          <w:rFonts w:ascii="Times New Roman" w:hAnsi="Times New Roman" w:eastAsia="Times New Roman" w:cs="Times New Roman"/>
          <w:color w:val="00000A"/>
          <w:lang w:val="en-US" w:eastAsia="en-US" w:bidi="ar-SA"/>
        </w:rPr>
      </w:pPr>
      <w:r>
        <w:rPr/>
        <w:t>Orthogonal methods rely on a camera which faces vertically downward and is directly aligned with a single crop row of the cultivator. A basic approach proposed by \citet{olsen1995} for detecting the lateral offset of the crop relies on taking the sum of the pixel elements grey values in the direction of travel. The resulting curve represents the likelihood of the row’s position for each x-index within the image. To isolate the most probable offset, two separate methods were compared: 1) a least squares regression of a sinusoidal wave, and 2) a Fourier Fast Transform (FFT) low-pass filter. Both filtration methods were effective in cereals to within an error of 10 mm, but performed poorly on sugar beets due to their characteristically large leaf volume. In a similar study by \citet{slaughter1997}, an algorithm for detecting the lateral offset of the row using individual segmentation of plants in the image was proposed. For each plant, a histogram of the intensities was calculated which was then used to find the median offset of each plant. If a plant’s median was significantly different than the other plants in the image, it was considered a weed and disregarded. The row offset was then calculated based on the medians of the remaining plants. This method was tested on lettuce and tomatoes for use with a band sprayer operating at 8 km/h and performed successfully with standard error of 9 mm and within 12 mm 95\% of the time.</w:t>
      </w:r>
      <w:r/>
    </w:p>
    <w:p>
      <w:pPr>
        <w:pStyle w:val="Normal"/>
        <w:rPr>
          <w:sz w:val="20"/>
          <w:sz w:val="20"/>
          <w:szCs w:val="20"/>
          <w:rFonts w:ascii="Times New Roman" w:hAnsi="Times New Roman" w:eastAsia="Times New Roman" w:cs="Times New Roman"/>
          <w:color w:val="00000A"/>
          <w:lang w:val="en-US" w:eastAsia="en-US" w:bidi="ar-SA"/>
        </w:rPr>
      </w:pPr>
      <w:r>
        <w:rPr/>
        <w:t>Conversely, perspective methods rely on a camera with a positive angle of inclination with multiple rows in the field of view. One approach for perspective guidance utilizes the Hough Line Transform (HLT) algorithm to detect linear rows in cauliflower, sugar beets, and wide-spaced wheat. In a study by \citet{pla1997}, a system using HLT performed with an error of 18 mm, which was considered sufficient by the researchers. A similar perspective approach using a band-pass filter proposed by \citet{hague2001} based on prior knowledge of the spacing of the crop rows was developed for use on cereals and beets. Supported by the British Beet Research Organization the developed system was capable of 3 cm precision at speeds of up to 10 km/h. The project was considered highly successful and was commercialized in 2001 in partnership with Garford Farm Machinery and Robodome Electronics under the name RoboCrop.</w:t>
      </w:r>
      <w:r/>
    </w:p>
    <w:p>
      <w:pPr>
        <w:pStyle w:val="Normal"/>
        <w:rPr>
          <w:sz w:val="20"/>
          <w:sz w:val="20"/>
          <w:szCs w:val="20"/>
          <w:rFonts w:ascii="Times New Roman" w:hAnsi="Times New Roman" w:eastAsia="Times New Roman" w:cs="Times New Roman"/>
          <w:color w:val="00000A"/>
          <w:lang w:val="en-US" w:eastAsia="en-US" w:bidi="ar-SA"/>
        </w:rPr>
      </w:pPr>
      <w:r>
        <w:rPr/>
        <w:t>When comparing the orthogonal and perspective methods, both have advantages and disadvantages. The perspective approach is less sensitive to missing plants and high weed density due to the greater field of view. However, perspective methods rely on prior knowledge of the crop spacing and linear rows with low curvature. Comparatively, orthogonal systems optimize resolution, in pixels-per-centimeter, and require only basic calibration. Conversely, lens distortion is an issue for perspective systems due to the greater subject distance and orientation of the camera. To compensate for increased subject distance, perspective methods require a higher resolution camera, resulting in greater computational requirements and costs. The reduced field of view for orthogonal systems is a concern when there are significant gaps in the crop rows. To address the issues inherent to the orthogonal approach, a system with two or more cameras may provide sufficient redundancy and cameras can be oriented width-wise to the crop row to increase the effective field of view along the direction of travel \citep{slaughter1995patent}.</w:t>
      </w:r>
      <w:r/>
    </w:p>
    <w:p>
      <w:pPr>
        <w:pStyle w:val="Normal"/>
        <w:rPr>
          <w:sz w:val="20"/>
          <w:sz w:val="20"/>
          <w:szCs w:val="20"/>
          <w:rFonts w:ascii="Times New Roman" w:hAnsi="Times New Roman" w:eastAsia="Times New Roman" w:cs="Times New Roman"/>
          <w:color w:val="00000A"/>
          <w:lang w:val="en-US" w:eastAsia="en-US" w:bidi="ar-SA"/>
        </w:rPr>
      </w:pPr>
      <w:r>
        <w:rPr/>
        <w:t>% On actuation ...</w:t>
      </w:r>
      <w:r/>
    </w:p>
    <w:p>
      <w:pPr>
        <w:pStyle w:val="Normal"/>
        <w:rPr>
          <w:sz w:val="20"/>
          <w:sz w:val="20"/>
          <w:szCs w:val="20"/>
          <w:rFonts w:ascii="Times New Roman" w:hAnsi="Times New Roman" w:eastAsia="Times New Roman" w:cs="Times New Roman"/>
          <w:color w:val="00000A"/>
          <w:lang w:val="en-US" w:eastAsia="en-US" w:bidi="ar-SA"/>
        </w:rPr>
      </w:pPr>
      <w:r>
        <w:rPr/>
        <w:t>Actuation of a cultivator implement can be achieved by several methods, such as vehicular steering, pivoting hitches, side-shift hitches, or stabilizer steering. Of these, vehicular steering has received tremendous interest, however due to the soil forces acting on separate mechanics affect the implements position relative to the vehicle and therefore solely relying on vehicular steering is not applicable in all environments. Actuated hitch systems, such as disc-steer and side-shift systems, have also seen commercial success. For light cultivation, both disc-steer and side-shift style control has been demonstrated to be effective at speeds $\le$8 km/h and on flat terrain \citep{kocher2000}. However, side-shift systems have been observed to cause problems when the implement is configured for heavier cultivation (e.g. deep harrows or coulters) due to “jumping”, i.e. the effect of the hitch shifting the tractor. To address this problem either requires either removing tools or dramatically increasing the weight of the tractor, both of which are undesirable to the farmer. As such, disc-steer systems such as pivoting hitch or rotating stabilizers are often preferred by farmers for deeper cultivation practices \citep{desperrier2014}.</w:t>
      </w:r>
      <w:r/>
    </w:p>
    <w:p>
      <w:pPr>
        <w:pStyle w:val="Normal"/>
        <w:rPr>
          <w:sz w:val="20"/>
          <w:sz w:val="20"/>
          <w:szCs w:val="20"/>
          <w:rFonts w:ascii="Times New Roman" w:hAnsi="Times New Roman" w:eastAsia="Times New Roman" w:cs="Times New Roman"/>
          <w:color w:val="00000A"/>
          <w:lang w:val="en-US" w:eastAsia="en-US" w:bidi="ar-SA"/>
        </w:rPr>
      </w:pPr>
      <w:r>
        <w:rPr/>
        <w:t>A disc-steer hydraulic hitch positional control system can be simplified as a linear system. The output is the lateral error of the vehicle relative to the crop row and the input is the position of the steering mechanism. Additionally, state-information of the system is required, and it is assumed the angular speed is constant and travel speed is within acceptable bounds. To control this system, the voltage signal to the electrohydraulic steering can be modulated to adjust the radial position of the cultivator discs, thus affecting the lateral force caused by the soil resistance (Equation \ref{eq:horizontal_force}).</w:t>
      </w:r>
      <w:r/>
    </w:p>
    <w:p>
      <w:pPr>
        <w:pStyle w:val="Normal"/>
      </w:pPr>
      <w:r>
        <w:rPr/>
        <w:t xml:space="preserve">The </w:t>
      </w:r>
      <w:r>
        <w:rPr>
          <w:b/>
          <w:bCs/>
        </w:rPr>
        <w:t>objective</w:t>
      </w:r>
      <w:r>
        <w:rPr/>
        <w:t xml:space="preserve"> of this study was to develop a low-cost embedded system which extends computer-vision row detection functionality to existing electro-hydraulic implement guidance systems. To be considered effective for commercial use, such a guidance system must be capable of 4 cm precision 95 percent of the  time for travel speeds up to 12 km/h and for crops up to 20 cm in height.</w:t>
      </w:r>
      <w:r/>
    </w:p>
    <w:p>
      <w:pPr>
        <w:pStyle w:val="Heading1"/>
        <w:rPr>
          <w:smallCaps/>
          <w:sz w:val="28"/>
          <w:b/>
          <w:sz w:val="28"/>
          <w:b/>
          <w:szCs w:val="20"/>
          <w:rFonts w:ascii="Times New Roman Bold" w:hAnsi="Times New Roman Bold" w:eastAsia="Times New Roman" w:cs="Times New Roman"/>
          <w:color w:val="00000A"/>
          <w:lang w:val="x-none" w:eastAsia="x-none" w:bidi="ar-SA"/>
          <w14:ligatures w14:val="standard"/>
        </w:rPr>
      </w:pPr>
      <w:r>
        <w:rPr/>
        <w:t>Materials and Methods</w:t>
      </w:r>
      <w:r/>
    </w:p>
    <w:p>
      <w:pPr>
        <w:pStyle w:val="Normal"/>
        <w:rPr>
          <w:sz w:val="20"/>
          <w:sz w:val="20"/>
          <w:szCs w:val="20"/>
          <w:rFonts w:ascii="Times New Roman" w:hAnsi="Times New Roman" w:eastAsia="Times New Roman" w:cs="Times New Roman"/>
          <w:color w:val="00000A"/>
          <w:lang w:val="en-US" w:eastAsia="en-US" w:bidi="ar-SA"/>
        </w:rPr>
      </w:pPr>
      <w:r>
        <w:rPr/>
        <w:t>For field evaluation, a twelve row Hiniker cultivator equipped with a Sukup Auto-Guidance system mounted to a Fendt Vario 850 was used throughout the testing period. The cultivator toolbar was configured to a row-spacing of 30 inches. Steering actuation of the cultivator was achieved via two 75 cm stabilizers mounted 165 cm behind the cultivator toolbar and spaced 1.48 m apart. The hydraulic actuation of the stabilizers had a $\pm$1.31 rad angular range of motion and a max angular velocity of ~0.4 rad/s.</w:t>
      </w:r>
      <w:r/>
    </w:p>
    <w:p>
      <w:pPr>
        <w:pStyle w:val="Normal"/>
        <w:rPr>
          <w:sz w:val="20"/>
          <w:sz w:val="20"/>
          <w:szCs w:val="20"/>
          <w:rFonts w:ascii="Times New Roman" w:hAnsi="Times New Roman" w:eastAsia="Times New Roman" w:cs="Times New Roman"/>
          <w:color w:val="00000A"/>
          <w:lang w:val="en-US" w:eastAsia="en-US" w:bidi="ar-SA"/>
        </w:rPr>
      </w:pPr>
      <w:r>
        <w:rPr/>
        <w:t>The computer-vision guidance system was installed alongside the existing mechanical guidance system to act as a replacement for the guiding rod potentiometer. The remaining components of the Sukup Auto-Guide system, including the electrohydraulic controller, center-pivot potentiometer, manual adjustment inputs, and hydraulic solenoids, were unmodified. This configuration allowed easily switching between the two modes of operation during field trials.</w:t>
      </w:r>
      <w:r/>
    </w:p>
    <w:p>
      <w:pPr>
        <w:pStyle w:val="Normal"/>
        <w:rPr>
          <w:sz w:val="20"/>
          <w:sz w:val="20"/>
          <w:szCs w:val="20"/>
          <w:rFonts w:ascii="Times New Roman" w:hAnsi="Times New Roman" w:eastAsia="Times New Roman" w:cs="Times New Roman"/>
          <w:color w:val="00000A"/>
          <w:lang w:val="en-US" w:eastAsia="en-US" w:bidi="ar-SA"/>
        </w:rPr>
      </w:pPr>
      <w:r>
        <w:rPr/>
        <w:t>Images of the plants passing beneath the cultivator are captured by two weather-proof CCD cameras mounted via C-brackets to he toolbar. In a compromise between the orthogonal and perspective methods, the two cameras were mounted at a low-oblique perspective of 30$^{\circ}$ inclination from vertical and a subject depth of 100 cm. This approach provides additional longitudinal field of view without contributing to lateral image distortion. To provide row estimation redundancy in the event of regions of high weed density or gaps in the crop rows, the two cameras were installed on the 3rd and 9th rows of the cultivator toolbar.</w:t>
      </w:r>
      <w:r/>
    </w:p>
    <w:p>
      <w:pPr>
        <w:pStyle w:val="Normal"/>
        <w:rPr>
          <w:sz w:val="20"/>
          <w:sz w:val="20"/>
          <w:szCs w:val="20"/>
          <w:rFonts w:ascii="Times New Roman" w:hAnsi="Times New Roman" w:eastAsia="Times New Roman" w:cs="Times New Roman"/>
          <w:color w:val="00000A"/>
          <w:lang w:val="en-US" w:eastAsia="en-US" w:bidi="ar-SA"/>
        </w:rPr>
      </w:pPr>
      <w:r>
        <w:rPr/>
        <w:t>An embedded Linux system based on the Debian 7.8 operating system (Linux Kernel 3.2) was developed for the Intel Atom D525 architecture. A 1.8GHz processor was used, with a 32 GB SSD, and 1 GB of RAM (Jetway). A run-time application was developed for the system using the Python programming language (v. 2.7.6) which operated as a local microwebserver. A high-speed database server (MongoDB 32-bit) was implemented for ultra-low latency storage and retrieval of data. This robust platform provided sufficient computing power for real-time image analysis at a relatively low cost. To generate the output voltage signal of the control system, an ATmega328P microcontroller was implemented as an 8-bit PWM generator. The microcontroller was integrated as a Universal Serial Bus (USB) peripheral device with the microprocessor serving as the host. Lastly, a graphical user interface was developed in order to provide a live video feed for the operator.</w:t>
      </w:r>
      <w:r/>
    </w:p>
    <w:p>
      <w:pPr>
        <w:pStyle w:val="Heading2"/>
        <w:rPr>
          <w:smallCaps/>
          <w:sz w:val="20"/>
          <w:b/>
          <w:sz w:val="20"/>
          <w:b/>
          <w:szCs w:val="20"/>
          <w:rFonts w:ascii="Times New Roman Bold" w:hAnsi="Times New Roman Bold" w:eastAsia="Times New Roman" w:cs="Times New Roman"/>
          <w:color w:val="00000A"/>
          <w:lang w:val="x-none" w:eastAsia="x-none" w:bidi="ar-SA"/>
          <w14:ligatures w14:val="standard"/>
        </w:rPr>
      </w:pPr>
      <w:r>
        <w:rPr/>
        <w:t>Plant Segmentation</w:t>
      </w:r>
      <w:r/>
    </w:p>
    <w:p>
      <w:pPr>
        <w:pStyle w:val="Normal"/>
        <w:rPr>
          <w:sz w:val="20"/>
          <w:sz w:val="20"/>
          <w:szCs w:val="20"/>
          <w:rFonts w:ascii="Times New Roman" w:hAnsi="Times New Roman" w:eastAsia="Times New Roman" w:cs="Times New Roman"/>
          <w:color w:val="00000A"/>
          <w:lang w:val="en-US" w:eastAsia="en-US" w:bidi="ar-SA"/>
        </w:rPr>
      </w:pPr>
      <w:r>
        <w:rPr/>
        <w:t>Images of the crop rows were captured in real-time from two CCD cameras. The cameras used for this study had a native resolution and frame-rate of 640x480 and 25 frames-per-second, respectively. However,  were hardware downscaled to a resolution of 320x240 and 16 frames-per-second. After capturing an image, the image matrix was transformed from the Red-Green-Blue (RGB) color-space to the de-correlated Hue-Saturation-Value (HSV) color-space in order to simplify band-pass filtering operations (Equations \ref{eq:rgb2h} to \ref{eq:rgb2v}).</w:t>
      </w:r>
      <w:r/>
    </w:p>
    <w:p>
      <w:pPr>
        <w:pStyle w:val="Normal"/>
        <w:rPr>
          <w:sz w:val="20"/>
          <w:sz w:val="20"/>
          <w:szCs w:val="20"/>
          <w:rFonts w:ascii="Times New Roman" w:hAnsi="Times New Roman" w:eastAsia="Times New Roman" w:cs="Times New Roman"/>
          <w:color w:val="00000A"/>
          <w:lang w:val="en-US" w:eastAsia="en-US" w:bidi="ar-SA"/>
        </w:rPr>
      </w:pPr>
      <w:r>
        <w:rPr/>
        <w:t>After transforming the image to the HSV color-space, a band-pass plant detection filter (BPPD) was applied to isolate pixels which could represent plant foliage. This filter selects for pixels with hue ranging from yellow-green to blue-green, saturation above the mean saturation, and value (i.e. brightness) between the extremes of under- and over-exposed. Threshold values were determined empirically using a training set of sample images in varying light and crop conditions. During this process, it was observed that the cameras experienced significant blue-shifting of crop foliage in very bright or low light, so the upper threshold for hue was set well into the cyan-blue region. This change did not have any noticeable negative impact on performance due to the relative lack of blue-tones in soil.</w:t>
      </w:r>
      <w:r/>
    </w:p>
    <w:p>
      <w:pPr>
        <w:pStyle w:val="Normal"/>
        <w:rPr>
          <w:sz w:val="20"/>
          <w:sz w:val="20"/>
          <w:szCs w:val="20"/>
          <w:rFonts w:ascii="Times New Roman" w:hAnsi="Times New Roman" w:eastAsia="Times New Roman" w:cs="Times New Roman"/>
          <w:color w:val="00000A"/>
          <w:lang w:val="en-US" w:eastAsia="en-US" w:bidi="ar-SA"/>
        </w:rPr>
      </w:pPr>
      <w:r>
        <w:rPr/>
        <w:t>The BPPD filter utilizes the linear interpolation percentile function to calculate the upper and lower thresholds of the Value and Saturation bands. This approach eliminates the need for static limits, reducing false-positive classification of pixels as green under varying lighting conditions. As a final post-processing step, morphological opening with a 3 by 3 kernel was applied to the BPPD mask to reduce any remaining noise while preserving the structure of crop foliage:</w:t>
      </w:r>
      <w:r/>
    </w:p>
    <w:p>
      <w:pPr>
        <w:pStyle w:val="Normal"/>
        <w:rPr>
          <w:sz w:val="20"/>
          <w:sz w:val="20"/>
          <w:szCs w:val="20"/>
          <w:rFonts w:ascii="Times New Roman" w:hAnsi="Times New Roman" w:eastAsia="Times New Roman" w:cs="Times New Roman"/>
          <w:color w:val="00000A"/>
          <w:lang w:val="en-US" w:eastAsia="en-US" w:bidi="ar-SA"/>
        </w:rPr>
      </w:pPr>
      <w:r>
        <w:rPr/>
        <w:t>This three step process was computationally non-intensive, yet produced sufficient segmentation in diverse lighting conditions. Notably, the percentile-based band-pass filters of saturation and intensity produced reliable masks in the worst-case scenarios of poor exposure and shadows.</w:t>
      </w:r>
      <w:r/>
    </w:p>
    <w:p>
      <w:pPr>
        <w:pStyle w:val="Heading2"/>
        <w:rPr>
          <w:smallCaps/>
          <w:sz w:val="20"/>
          <w:b/>
          <w:sz w:val="20"/>
          <w:b/>
          <w:szCs w:val="20"/>
          <w:rFonts w:ascii="Times New Roman Bold" w:hAnsi="Times New Roman Bold" w:eastAsia="Times New Roman" w:cs="Times New Roman"/>
          <w:color w:val="00000A"/>
          <w:lang w:val="x-none" w:eastAsia="x-none" w:bidi="ar-SA"/>
          <w14:ligatures w14:val="standard"/>
        </w:rPr>
      </w:pPr>
      <w:r>
        <w:rPr/>
        <w:t>Row Estimation</w:t>
      </w:r>
      <w:r/>
    </w:p>
    <w:p>
      <w:pPr>
        <w:pStyle w:val="Normal"/>
        <w:rPr>
          <w:sz w:val="20"/>
          <w:sz w:val="20"/>
          <w:szCs w:val="20"/>
          <w:rFonts w:ascii="Times New Roman" w:hAnsi="Times New Roman" w:eastAsia="Times New Roman" w:cs="Times New Roman"/>
          <w:color w:val="00000A"/>
          <w:lang w:val="en-US" w:eastAsia="en-US" w:bidi="ar-SA"/>
        </w:rPr>
      </w:pPr>
      <w:r>
        <w:rPr/>
        <w:t>After the plant foliage mask (M) has been produced, the column summation of the mask was calculated in the direction of travel, resulting in an array (C) representing the lateral distribution of plant foliage within the image (\ref{eq:col_sum}). Indices of the C-array with low values suggest bare-soil, moderate values suggest sparsely distributed weeds, and higher values suggest presence of the crop row due to the longitudinal alignment of the plant foliage. Using this distribution, the centroid of the crop row was estimated by applying a high-pass filter to select for indices which are significantly greater than others (\ref{eq:p_threshold}):</w:t>
      </w:r>
      <w:r/>
    </w:p>
    <w:p>
      <w:pPr>
        <w:pStyle w:val="Normal"/>
        <w:rPr>
          <w:sz w:val="20"/>
          <w:sz w:val="20"/>
          <w:szCs w:val="20"/>
          <w:rFonts w:ascii="Times New Roman" w:hAnsi="Times New Roman" w:eastAsia="Times New Roman" w:cs="Times New Roman"/>
          <w:color w:val="00000A"/>
          <w:lang w:val="en-US" w:eastAsia="en-US" w:bidi="ar-SA"/>
        </w:rPr>
      </w:pPr>
      <w:r>
        <w:rPr/>
        <w:t>where $\alpha$=0.95</w:t>
      </w:r>
      <w:r/>
    </w:p>
    <w:p>
      <w:pPr>
        <w:pStyle w:val="Normal"/>
        <w:rPr>
          <w:sz w:val="20"/>
          <w:sz w:val="20"/>
          <w:szCs w:val="20"/>
          <w:rFonts w:ascii="Times New Roman" w:hAnsi="Times New Roman" w:eastAsia="Times New Roman" w:cs="Times New Roman"/>
          <w:color w:val="00000A"/>
          <w:lang w:val="en-US" w:eastAsia="en-US" w:bidi="ar-SA"/>
        </w:rPr>
      </w:pPr>
      <w:r>
        <w:rPr/>
        <w:t>The resulting array (p) consists of all indices of the image which are most likely to represent the crop row. The estimated centroid of the crop row was then determined by taking the weighted mean of the probable indices, where weight of each index was the normalized value of its corresponding column summation:</w:t>
      </w:r>
      <w:r/>
    </w:p>
    <w:p>
      <w:pPr>
        <w:pStyle w:val="Normal"/>
        <w:rPr>
          <w:sz w:val="20"/>
          <w:sz w:val="20"/>
          <w:szCs w:val="20"/>
          <w:rFonts w:ascii="Times New Roman" w:hAnsi="Times New Roman" w:eastAsia="Times New Roman" w:cs="Times New Roman"/>
          <w:color w:val="00000A"/>
          <w:lang w:val="en-US" w:eastAsia="en-US" w:bidi="ar-SA"/>
        </w:rPr>
      </w:pPr>
      <w:r>
        <w:rPr/>
        <w:t>where $N$ is the number of elements in $p$ and $x$ is the position the estimated centroid in pixels.</w:t>
      </w:r>
      <w:r/>
    </w:p>
    <w:p>
      <w:pPr>
        <w:pStyle w:val="Normal"/>
        <w:rPr>
          <w:sz w:val="20"/>
          <w:sz w:val="20"/>
          <w:szCs w:val="20"/>
          <w:rFonts w:ascii="Times New Roman" w:hAnsi="Times New Roman" w:eastAsia="Times New Roman" w:cs="Times New Roman"/>
          <w:color w:val="00000A"/>
          <w:lang w:val="en-US" w:eastAsia="en-US" w:bidi="ar-SA"/>
        </w:rPr>
      </w:pPr>
      <w:r>
        <w:rPr/>
        <w:t>To compensate for errors in the detection process inherent to single camera systems, the row centroid estimation process was repeated for each image, producing two column summation arrays ($C_{1}$ and $C_{2}$) and two estimated row centroids ($x_{1}$ and $x_{2}$). After calculating the estimated row centroid for each camera, the centroid and column summation values are compared to determine the final estimated offset of the crop row:</w:t>
      </w:r>
      <w:r/>
    </w:p>
    <w:p>
      <w:pPr>
        <w:pStyle w:val="Normal"/>
        <w:rPr>
          <w:sz w:val="20"/>
          <w:sz w:val="20"/>
          <w:szCs w:val="20"/>
          <w:rFonts w:ascii="Times New Roman" w:hAnsi="Times New Roman" w:eastAsia="Times New Roman" w:cs="Times New Roman"/>
          <w:color w:val="00000A"/>
          <w:lang w:val="en-US" w:eastAsia="en-US" w:bidi="ar-SA"/>
        </w:rPr>
      </w:pPr>
      <w:r>
        <w:rPr/>
        <w:t xml:space="preserve">where $\epsilon$ is the maximum acceptable error tolerance, $W$ is the width of the camera in pixels. </w:t>
      </w:r>
      <w:r/>
    </w:p>
    <w:p>
      <w:pPr>
        <w:pStyle w:val="Normal"/>
        <w:ind w:hanging="0"/>
        <w:rPr>
          <w:sz w:val="20"/>
          <w:sz w:val="20"/>
          <w:szCs w:val="20"/>
          <w:rFonts w:ascii="Times New Roman" w:hAnsi="Times New Roman" w:eastAsia="Times New Roman" w:cs="Times New Roman"/>
          <w:color w:val="00000A"/>
          <w:lang w:val="en-US" w:eastAsia="en-US" w:bidi="ar-SA"/>
        </w:rPr>
      </w:pPr>
      <w:r>
        <w:rPr/>
        <w:t>This approach prioritizes centroid estimations which are in agreeance. In the event of disagreeance between the two cameras, the dominant centroid was taken as the row. This provided a simplistic means for reducing errors due to weeds. For the sake of performance evaluation, the error in pixels may be converted to centimeters using the relationship between the cameras’ field-of-view of 48 cm, measured width-wise along the center-line, at a subject depth of 100 cm. For a resolution of 240 px in width, this results in a resolution of 0.2 cm/px.</w:t>
      </w:r>
      <w:r/>
    </w:p>
    <w:p>
      <w:pPr>
        <w:pStyle w:val="Normal"/>
        <w:ind w:hanging="0"/>
        <w:rPr>
          <w:sz w:val="20"/>
          <w:sz w:val="20"/>
          <w:szCs w:val="20"/>
          <w:rFonts w:ascii="Times New Roman" w:hAnsi="Times New Roman" w:eastAsia="Times New Roman" w:cs="Times New Roman"/>
          <w:color w:val="00000A"/>
          <w:lang w:val="en-US" w:eastAsia="en-US" w:bidi="ar-SA"/>
        </w:rPr>
      </w:pPr>
      <w:r>
        <w:rPr/>
        <w:tab/>
        <w:t>where $x$ is the lateral error (px), $W$ is the field-of-view of the camera (in centimeters), $w$ is the camera width (in pixels).</w:t>
      </w:r>
      <w:r/>
    </w:p>
    <w:p>
      <w:pPr>
        <w:pStyle w:val="Heading2"/>
        <w:rPr>
          <w:smallCaps/>
          <w:sz w:val="20"/>
          <w:b/>
          <w:sz w:val="20"/>
          <w:b/>
          <w:szCs w:val="20"/>
          <w:rFonts w:ascii="Times New Roman Bold" w:hAnsi="Times New Roman Bold" w:eastAsia="Times New Roman" w:cs="Times New Roman"/>
          <w:color w:val="00000A"/>
          <w:lang w:val="x-none" w:eastAsia="x-none" w:bidi="ar-SA"/>
          <w14:ligatures w14:val="standard"/>
        </w:rPr>
      </w:pPr>
      <w:r>
        <w:rPr/>
        <w:t>Electro-Hydraulic Control</w:t>
      </w:r>
      <w:r/>
    </w:p>
    <w:p>
      <w:pPr>
        <w:pStyle w:val="Normal"/>
        <w:rPr>
          <w:sz w:val="20"/>
          <w:sz w:val="20"/>
          <w:szCs w:val="20"/>
          <w:rFonts w:ascii="Times New Roman" w:hAnsi="Times New Roman" w:eastAsia="Times New Roman" w:cs="Times New Roman"/>
          <w:color w:val="00000A"/>
          <w:lang w:val="en-US" w:eastAsia="en-US" w:bidi="ar-SA"/>
        </w:rPr>
      </w:pPr>
      <w:r>
        <w:rPr/>
        <w:t>Two rear stabilizers were actuated via a bang-bang hydraulic solenoid controller. Control of the hydraulic system is driven by the voltage differential between the feedback signal from the row detection system, i.e. the guiding rods or computer-vision module, and a rotary potentiometer mounted to the active mechanism of the hitch.  For the computer-system control signal, signal conditioning was implemented based on a Proportional-Integral-Derivative (PID) feed-back controller. Coefficients were initially chosen to provide similar response to that of the guiding rods and were subsequently modified by trial and error.</w:t>
      </w:r>
      <w:r/>
    </w:p>
    <w:p>
      <w:pPr>
        <w:pStyle w:val="Normal"/>
        <w:rPr>
          <w:sz w:val="20"/>
          <w:sz w:val="20"/>
          <w:szCs w:val="20"/>
          <w:rFonts w:ascii="Times New Roman" w:hAnsi="Times New Roman" w:eastAsia="Times New Roman" w:cs="Times New Roman"/>
          <w:color w:val="00000A"/>
          <w:lang w:val="en-US" w:eastAsia="en-US" w:bidi="ar-SA"/>
        </w:rPr>
      </w:pPr>
      <w:r>
        <w:rPr/>
        <w:t>where $K_{P}=1.0$, $K_{I}=4.0$, $K_{D}=0.5$, $N=16$ is the number of integral samples, $M=16$ is the number of differential samples.</w:t>
      </w:r>
      <w:r/>
    </w:p>
    <w:p>
      <w:pPr>
        <w:pStyle w:val="Normal"/>
        <w:rPr>
          <w:sz w:val="20"/>
          <w:sz w:val="20"/>
          <w:szCs w:val="20"/>
          <w:rFonts w:ascii="Times New Roman" w:hAnsi="Times New Roman" w:eastAsia="Times New Roman" w:cs="Times New Roman"/>
          <w:color w:val="00000A"/>
          <w:lang w:val="en-US" w:eastAsia="en-US" w:bidi="ar-SA"/>
        </w:rPr>
      </w:pPr>
      <w:r>
        <w:rPr/>
        <w:t>The output value was transmitted via a weatherproof (IP68) USB connection to an ATMEL microcontroller which was interfaced with the hydraulic solenoid controller. The microcontroller generated an analog output signal via pulse-width modulation (PWM) to produce a voltage signal from 0.0 V to 5.0$\pm$0.05 V. However, the operating range of the Sukup Auto-Guide system was observed to vary from 0.10$\pm$0.02V to 8.0$\pm$0.02V with a fixed supply voltage of 9.70$\pm$0.02V. To account for this discrepancy, the PWM output range was scaled linearly and a MOSFET logic level converter (LLC) circuit was used to shift the PWM signal to the required range (\ref{fig:mosfet}).</w:t>
      </w:r>
      <w:r/>
    </w:p>
    <w:p>
      <w:pPr>
        <w:pStyle w:val="Normal"/>
        <w:rPr>
          <w:sz w:val="20"/>
          <w:sz w:val="20"/>
          <w:szCs w:val="20"/>
          <w:rFonts w:ascii="Times New Roman" w:hAnsi="Times New Roman" w:eastAsia="Times New Roman" w:cs="Times New Roman"/>
          <w:color w:val="00000A"/>
          <w:lang w:val="en-US" w:eastAsia="en-US" w:bidi="ar-SA"/>
        </w:rPr>
      </w:pPr>
      <w:r>
        <w:rPr/>
        <w:t xml:space="preserve">  </w:t>
      </w:r>
      <w:r>
        <w:rPr/>
        <w:t xml:space="preserve">w = </w:t>
      </w:r>
      <w:r/>
    </w:p>
    <w:p>
      <w:pPr>
        <w:pStyle w:val="Normal"/>
        <w:rPr>
          <w:sz w:val="20"/>
          <w:sz w:val="20"/>
          <w:szCs w:val="20"/>
          <w:rFonts w:ascii="Times New Roman" w:hAnsi="Times New Roman" w:eastAsia="Times New Roman" w:cs="Times New Roman"/>
          <w:color w:val="00000A"/>
          <w:lang w:val="en-US" w:eastAsia="en-US" w:bidi="ar-SA"/>
        </w:rPr>
      </w:pPr>
      <w:r>
        <w:rPr/>
        <w:t xml:space="preserve">    </w:t>
      </w:r>
      <w:r>
        <w:rPr/>
        <w:t>0 &amp; \quad \text{if } u \leq 0 \\</w:t>
      </w:r>
      <w:r/>
    </w:p>
    <w:p>
      <w:pPr>
        <w:pStyle w:val="Normal"/>
        <w:rPr>
          <w:sz w:val="20"/>
          <w:sz w:val="20"/>
          <w:szCs w:val="20"/>
          <w:rFonts w:ascii="Times New Roman" w:hAnsi="Times New Roman" w:eastAsia="Times New Roman" w:cs="Times New Roman"/>
          <w:color w:val="00000A"/>
          <w:lang w:val="en-US" w:eastAsia="en-US" w:bidi="ar-SA"/>
        </w:rPr>
      </w:pPr>
      <w:r>
        <w:rPr/>
        <w:t xml:space="preserve">    </w:t>
      </w:r>
      <w:r>
        <w:rPr/>
        <w:t>2^{R-1} &amp; \quad \text{if } u \geq 2^{R-1}\\</w:t>
      </w:r>
      <w:r/>
    </w:p>
    <w:p>
      <w:pPr>
        <w:pStyle w:val="Normal"/>
        <w:rPr>
          <w:sz w:val="20"/>
          <w:sz w:val="20"/>
          <w:szCs w:val="20"/>
          <w:rFonts w:ascii="Times New Roman" w:hAnsi="Times New Roman" w:eastAsia="Times New Roman" w:cs="Times New Roman"/>
          <w:color w:val="00000A"/>
          <w:lang w:val="en-US" w:eastAsia="en-US" w:bidi="ar-SA"/>
        </w:rPr>
      </w:pPr>
      <w:r>
        <w:rPr/>
        <w:t xml:space="preserve">    </w:t>
      </w:r>
      <w:r>
        <w:rPr/>
        <w:t>(u +2^{R-2})\times\left[\frac{V_{max}}{V_{HV}}+\frac{V_{min}}{V_{LV}}\right] &amp; \quad \text{else} \\</w:t>
      </w:r>
      <w:r/>
    </w:p>
    <w:p>
      <w:pPr>
        <w:pStyle w:val="Normal"/>
        <w:rPr>
          <w:sz w:val="20"/>
          <w:sz w:val="20"/>
          <w:szCs w:val="20"/>
          <w:rFonts w:ascii="Times New Roman" w:hAnsi="Times New Roman" w:eastAsia="Times New Roman" w:cs="Times New Roman"/>
          <w:color w:val="00000A"/>
          <w:lang w:val="en-US" w:eastAsia="en-US" w:bidi="ar-SA"/>
        </w:rPr>
      </w:pPr>
      <w:r>
        <w:rPr/>
        <w:t>where $V_{min}=0.10$, $V_{max}=8.00$, $V_{HV}=9.70$, $V_{LV}=5.0$</w:t>
      </w:r>
      <w:r/>
    </w:p>
    <w:p>
      <w:pPr>
        <w:pStyle w:val="Normal"/>
        <w:rPr>
          <w:sz w:val="20"/>
          <w:sz w:val="20"/>
          <w:szCs w:val="20"/>
          <w:rFonts w:ascii="Times New Roman" w:hAnsi="Times New Roman" w:eastAsia="Times New Roman" w:cs="Times New Roman"/>
          <w:color w:val="00000A"/>
          <w:lang w:val="en-US" w:eastAsia="en-US" w:bidi="ar-SA"/>
        </w:rPr>
      </w:pPr>
      <w:r>
        <w:rPr/>
        <w:t>V_{hydraulic} = \frac{w}{2^{R-1}} \times V_{HV} + V_{min}</w:t>
      </w:r>
      <w:r/>
    </w:p>
    <w:p>
      <w:pPr>
        <w:pStyle w:val="Normal"/>
        <w:rPr>
          <w:sz w:val="20"/>
          <w:sz w:val="20"/>
          <w:szCs w:val="20"/>
          <w:rFonts w:ascii="Times New Roman" w:hAnsi="Times New Roman" w:eastAsia="Times New Roman" w:cs="Times New Roman"/>
          <w:color w:val="00000A"/>
          <w:lang w:val="en-US" w:eastAsia="en-US" w:bidi="ar-SA"/>
        </w:rPr>
      </w:pPr>
      <w:r>
        <w:rPr/>
        <w:t>This circuit configuration allows the system to output a voltage using PWM to systems with different voltage requirements. In the event of interfacing with hydraulic systems which do not support a PWM input signal, a simple low-pass smoothing filter can be implemented (\ref{fig:lowpass}). The final output voltage represents the set-point to be reached for angle of the steering stabilizers. The mapping between output voltage and position was found to be a linear, second order system, with saturation.</w:t>
      </w:r>
      <w:r/>
    </w:p>
    <w:p>
      <w:pPr>
        <w:pStyle w:val="Heading2"/>
        <w:rPr>
          <w:smallCaps/>
          <w:sz w:val="20"/>
          <w:b/>
          <w:sz w:val="20"/>
          <w:b/>
          <w:szCs w:val="20"/>
          <w:rFonts w:ascii="Times New Roman Bold" w:hAnsi="Times New Roman Bold" w:eastAsia="Times New Roman" w:cs="Times New Roman"/>
          <w:color w:val="00000A"/>
          <w:lang w:val="x-none" w:eastAsia="x-none" w:bidi="ar-SA"/>
          <w14:ligatures w14:val="standard"/>
        </w:rPr>
      </w:pPr>
      <w:r>
        <w:rPr/>
        <w:t>Electro-Hydraulic Control</w:t>
      </w:r>
      <w:r/>
    </w:p>
    <w:p>
      <w:pPr>
        <w:pStyle w:val="Normal"/>
        <w:rPr>
          <w:sz w:val="20"/>
          <w:sz w:val="20"/>
          <w:szCs w:val="20"/>
          <w:rFonts w:ascii="Times New Roman" w:hAnsi="Times New Roman" w:eastAsia="Times New Roman" w:cs="Times New Roman"/>
          <w:color w:val="00000A"/>
          <w:lang w:val="en-US" w:eastAsia="en-US" w:bidi="ar-SA"/>
        </w:rPr>
      </w:pPr>
      <w:r>
        <w:rPr/>
        <w:t>At the beginning of each set of field trials, a camera calibration procedure was followed to ensure proper alignment of the cameras: (1) the cultivator was aligned with the crop rows which was verified by measurements with a tape measure at the working tools; (2) lateral adjustments were made to the camera bracket to ensure the vertical center-line of each camera was aligned with the crop row; (3) vertical adjustments made to the camera bracket to ensure a subject depth of 1.0 m when measured in a direct line-of-sight from the camera lens to the soil surface. In addition to setup of the camera bracket, the Sukup Auto-Guide system was configured to default settings. The hydraulic cultivator basic user tuning in the form of sensitivity and tracking adjustment inputs. The sensitivity adjustment effectively changes the mapping between voltage and radial resolution of the stabilizers, with a range of 1 to 10 resulting in mappings from 7.7 deg/V to 18.8 deg/V, respectively. Similarly, the tracking adjustment offsets the zero position of the stabilizers on a scale of -3 to +3 corresponding to -0.435 rad to +0.435 rad, respectively. Therefore, at the beginning of each set of trials the following settings were ensured: (1) the sensitivity was set to 10 out of 10, and (2) the tracking adjustment was set to 0.</w:t>
      </w:r>
      <w:r/>
    </w:p>
    <w:p>
      <w:pPr>
        <w:pStyle w:val="Heading2"/>
        <w:rPr>
          <w:smallCaps/>
          <w:sz w:val="20"/>
          <w:b/>
          <w:sz w:val="20"/>
          <w:b/>
          <w:szCs w:val="20"/>
          <w:rFonts w:ascii="Times New Roman Bold" w:hAnsi="Times New Roman Bold" w:eastAsia="Times New Roman" w:cs="Times New Roman"/>
          <w:color w:val="00000A"/>
          <w:lang w:val="x-none" w:eastAsia="x-none" w:bidi="ar-SA"/>
          <w14:ligatures w14:val="standard"/>
        </w:rPr>
      </w:pPr>
      <w:r>
        <w:rPr/>
        <w:t>Field Trials</w:t>
      </w:r>
      <w:r/>
    </w:p>
    <w:p>
      <w:pPr>
        <w:pStyle w:val="Normal"/>
        <w:rPr>
          <w:sz w:val="20"/>
          <w:sz w:val="20"/>
          <w:szCs w:val="20"/>
          <w:rFonts w:ascii="Times New Roman" w:hAnsi="Times New Roman" w:eastAsia="Times New Roman" w:cs="Times New Roman"/>
          <w:color w:val="00000A"/>
          <w:lang w:val="en-US" w:eastAsia="en-US" w:bidi="ar-SA"/>
        </w:rPr>
      </w:pPr>
      <w:r>
        <w:rPr/>
        <w:t>Field tests of the system took place over the summer of 2014 from June to August on straight-drilled corn and soybean crops. Only organic cultivars were considered for this study, therefore no pesticides were applied to the fields and weeds were present during testing. All fields used during testing were maintained by Agri-Fusion 2000 Inc., a 4000 ha organic farming operation in St-Polycarpe, Quebec. Trials were classified into four stages of crop development: soy &lt;10 cm, soy 10 – 15 cm, soy &gt;15 cm, and corn &gt;15 cm. For each run, five representative locations along the row were selected and the height of the crop from the soil surface was observed using a tape measure, and the resulting average determined the height stage of the trial. To determine the reliability of the two systems at differing speeds of operation, trials were conducted at four approximate travel speeds: 6, 8, 10, and 12 km/h. The travel speed of the tractor was set via the automatic speed controller of the vehicle.</w:t>
      </w:r>
      <w:r/>
    </w:p>
    <w:p>
      <w:pPr>
        <w:pStyle w:val="Normal"/>
        <w:rPr>
          <w:sz w:val="20"/>
          <w:sz w:val="20"/>
          <w:szCs w:val="20"/>
          <w:rFonts w:ascii="Times New Roman" w:hAnsi="Times New Roman" w:eastAsia="Times New Roman" w:cs="Times New Roman"/>
          <w:color w:val="00000A"/>
          <w:lang w:val="en-US" w:eastAsia="en-US" w:bidi="ar-SA"/>
        </w:rPr>
      </w:pPr>
      <w:r>
        <w:rPr/>
        <w:t>Each run consisted of a single-pass across the field. Prior to each run, tractor and cultivator implement were aligned with the crop-row. Once aligned, either the computer-vision or guiding rod systems were connected to the controller. Once active, the system logger was started and the tractor was engaged to the appropriate travel speed. Tractors were driven by professional operators during trial runs. Due to restrictions with respect to crop health, some combinations of crop stage and travel speed were not tested extensively, i.e. 12 km/h was not tested at the &lt;10cm soy stage.</w:t>
      </w:r>
      <w:r/>
    </w:p>
    <w:p>
      <w:pPr>
        <w:pStyle w:val="Heading1"/>
      </w:pPr>
      <w:r>
        <w:rPr/>
        <w:t>Results</w:t>
      </w:r>
      <w:r/>
    </w:p>
    <w:p>
      <w:pPr>
        <w:pStyle w:val="Figure"/>
      </w:pPr>
      <w:r>
        <w:rPr/>
        <w:drawing>
          <wp:inline distT="0" distB="0" distL="0" distR="0">
            <wp:extent cx="1414145" cy="1250950"/>
            <wp:effectExtent l="0" t="0" r="0" b="0"/>
            <wp:docPr id="1" name="Picture" descr="ASABE_logomark_silver moderate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SABE_logomark_silver moderate size"/>
                    <pic:cNvPicPr>
                      <a:picLocks noChangeAspect="1" noChangeArrowheads="1"/>
                    </pic:cNvPicPr>
                  </pic:nvPicPr>
                  <pic:blipFill>
                    <a:blip r:embed="rId3"/>
                    <a:stretch>
                      <a:fillRect/>
                    </a:stretch>
                  </pic:blipFill>
                  <pic:spPr bwMode="auto">
                    <a:xfrm>
                      <a:off x="0" y="0"/>
                      <a:ext cx="1414145" cy="1250950"/>
                    </a:xfrm>
                    <a:prstGeom prst="rect">
                      <a:avLst/>
                    </a:prstGeom>
                    <a:noFill/>
                    <a:ln w="9525">
                      <a:noFill/>
                      <a:miter lim="800000"/>
                      <a:headEnd/>
                      <a:tailEnd/>
                    </a:ln>
                  </pic:spPr>
                </pic:pic>
              </a:graphicData>
            </a:graphic>
          </wp:inline>
        </w:drawing>
      </w:r>
      <w:r/>
    </w:p>
    <w:p>
      <w:pPr>
        <w:pStyle w:val="FigureCaption"/>
      </w:pPr>
      <w:r>
        <w:rPr/>
        <w:t xml:space="preserve">Figure 1. Use the Figure Caption Style for a caption below each figure, outside of the graphics box. </w:t>
        <w:br/>
        <w:t>The graphic itself is in the Figure Style.</w:t>
      </w:r>
      <w:r/>
    </w:p>
    <w:p>
      <w:pPr>
        <w:pStyle w:val="Heading2"/>
      </w:pPr>
      <w:r>
        <w:rPr/>
        <w:t>About Tables</w:t>
      </w:r>
      <w:r/>
    </w:p>
    <w:p>
      <w:pPr>
        <w:pStyle w:val="TableCaption"/>
      </w:pPr>
      <w:r>
        <w:rPr/>
        <w:t>Table 1. Use the Table Caption style above each table. Material in the table uses the Table Contents style. Use standard Word table commands or make a table in your usual way and ASABE staff will process it.</w:t>
      </w:r>
      <w:r/>
    </w:p>
    <w:tbl>
      <w:tblPr>
        <w:tblW w:w="9840" w:type="dxa"/>
        <w:jc w:val="center"/>
        <w:tblInd w:w="0" w:type="dxa"/>
        <w:tblBorders>
          <w:top w:val="single" w:sz="4" w:space="0" w:color="00000A"/>
          <w:bottom w:val="single" w:sz="4" w:space="0" w:color="00000A"/>
          <w:insideH w:val="single" w:sz="4" w:space="0" w:color="00000A"/>
        </w:tblBorders>
        <w:tblCellMar>
          <w:top w:w="0" w:type="dxa"/>
          <w:left w:w="108" w:type="dxa"/>
          <w:bottom w:w="0" w:type="dxa"/>
          <w:right w:w="108" w:type="dxa"/>
        </w:tblCellMar>
      </w:tblPr>
      <w:tblGrid>
        <w:gridCol w:w="7378"/>
        <w:gridCol w:w="2461"/>
      </w:tblGrid>
      <w:tr>
        <w:trPr>
          <w:cantSplit w:val="true"/>
        </w:trPr>
        <w:tc>
          <w:tcPr>
            <w:tcW w:w="7378" w:type="dxa"/>
            <w:vMerge w:val="restart"/>
            <w:tcBorders>
              <w:top w:val="single" w:sz="4" w:space="0" w:color="00000A"/>
              <w:bottom w:val="single" w:sz="4" w:space="0" w:color="00000A"/>
              <w:insideH w:val="single" w:sz="4" w:space="0" w:color="00000A"/>
            </w:tcBorders>
            <w:shd w:fill="auto" w:val="clear"/>
            <w:vAlign w:val="center"/>
          </w:tcPr>
          <w:p>
            <w:pPr>
              <w:pStyle w:val="Tablecontents"/>
            </w:pPr>
            <w:r>
              <w:rPr/>
              <w:t>Material in the table uses the Table Contents style.</w:t>
            </w:r>
            <w:r/>
          </w:p>
          <w:p>
            <w:pPr>
              <w:pStyle w:val="Tablecontents"/>
            </w:pPr>
            <w:r>
              <w:rPr/>
              <w:t xml:space="preserve">Make tables to fit in 20 picas (~8.5 cm; 1 column published) or 41 picas (~17.4 cm, page width published; for the </w:t>
            </w:r>
            <w:r>
              <w:rPr>
                <w:i/>
                <w:iCs/>
              </w:rPr>
              <w:t>Journal of Agricultural Safety and Health</w:t>
            </w:r>
            <w:r>
              <w:rPr/>
              <w:t xml:space="preserve"> and </w:t>
            </w:r>
            <w:r>
              <w:rPr>
                <w:i/>
                <w:iCs/>
              </w:rPr>
              <w:t>Biological Engineering Transactions</w:t>
            </w:r>
            <w:r>
              <w:rPr/>
              <w:t xml:space="preserve"> the page width is 30 picas, ~12.7 cm).</w:t>
            </w:r>
            <w:r/>
          </w:p>
        </w:tc>
        <w:tc>
          <w:tcPr>
            <w:tcW w:w="2461" w:type="dxa"/>
            <w:tcBorders>
              <w:top w:val="single" w:sz="4" w:space="0" w:color="00000A"/>
              <w:bottom w:val="single" w:sz="4" w:space="0" w:color="00000A"/>
              <w:insideH w:val="single" w:sz="4" w:space="0" w:color="00000A"/>
            </w:tcBorders>
            <w:shd w:fill="auto" w:val="clear"/>
            <w:vAlign w:val="center"/>
          </w:tcPr>
          <w:p>
            <w:pPr>
              <w:pStyle w:val="Tablecontents"/>
            </w:pPr>
            <w:r>
              <w:rPr/>
              <w:t>Use only solid, horizontal lines, with no diagonals or broken lines.</w:t>
            </w:r>
            <w:r/>
          </w:p>
        </w:tc>
      </w:tr>
      <w:tr>
        <w:trPr>
          <w:cantSplit w:val="true"/>
        </w:trPr>
        <w:tc>
          <w:tcPr>
            <w:tcW w:w="7378" w:type="dxa"/>
            <w:vMerge w:val="continue"/>
            <w:tcBorders>
              <w:top w:val="single" w:sz="4" w:space="0" w:color="00000A"/>
              <w:bottom w:val="single" w:sz="4" w:space="0" w:color="00000A"/>
              <w:insideH w:val="single" w:sz="4" w:space="0" w:color="00000A"/>
            </w:tcBorders>
            <w:shd w:fill="auto" w:val="clear"/>
            <w:vAlign w:val="center"/>
          </w:tcPr>
          <w:p>
            <w:pPr>
              <w:pStyle w:val="Tablecontents"/>
            </w:pPr>
            <w:r>
              <w:rPr/>
            </w:r>
            <w:r/>
          </w:p>
        </w:tc>
        <w:tc>
          <w:tcPr>
            <w:tcW w:w="2461" w:type="dxa"/>
            <w:tcBorders>
              <w:top w:val="single" w:sz="4" w:space="0" w:color="00000A"/>
              <w:bottom w:val="single" w:sz="4" w:space="0" w:color="00000A"/>
              <w:insideH w:val="single" w:sz="4" w:space="0" w:color="00000A"/>
            </w:tcBorders>
            <w:shd w:fill="auto" w:val="clear"/>
            <w:vAlign w:val="center"/>
          </w:tcPr>
          <w:p>
            <w:pPr>
              <w:pStyle w:val="Tablecontents"/>
            </w:pPr>
            <w:r>
              <w:rPr/>
              <w:t>line weight of 0.5 points</w:t>
            </w:r>
            <w:r/>
          </w:p>
        </w:tc>
      </w:tr>
    </w:tbl>
    <w:p>
      <w:pPr>
        <w:pStyle w:val="Heading1"/>
      </w:pPr>
      <w:r>
        <w:rPr/>
        <w:t>About Lists</w:t>
      </w:r>
      <w:r/>
    </w:p>
    <w:p>
      <w:pPr>
        <w:pStyle w:val="Normal"/>
      </w:pPr>
      <w:r>
        <w:rPr/>
        <w:t>You may use the List Bullet, List Number, or List Custom styles for your lists, or just make the list your usual way and ASABE staff will process it. Type the material, pressing Enter between items. Then select all the listed items and apply the List Bullet (or List Number or List Custom) style from the Style menu. If Word forces text into the list against your wishes, press Backspace or select the text and make it Normal style.</w:t>
      </w:r>
      <w:r/>
    </w:p>
    <w:p>
      <w:pPr>
        <w:pStyle w:val="ListBullet"/>
        <w:numPr>
          <w:ilvl w:val="0"/>
          <w:numId w:val="1"/>
        </w:numPr>
        <w:rPr>
          <w:rFonts w:ascii="Times New Roman" w:hAnsi="Times New Roman" w:eastAsia="Times New Roman"/>
          <w14:ligatures w14:val="standard"/>
        </w:rPr>
      </w:pPr>
      <w:r>
        <w:rPr/>
        <w:t>Use bullets for lists unless numbering is necessary.</w:t>
      </w:r>
      <w:r/>
    </w:p>
    <w:p>
      <w:pPr>
        <w:pStyle w:val="ListNumber"/>
        <w:widowControl/>
        <w:numPr>
          <w:ilvl w:val="0"/>
          <w:numId w:val="2"/>
        </w:numPr>
        <w:tabs>
          <w:tab w:val="left" w:pos="720" w:leader="none"/>
          <w:tab w:val="center" w:pos="4800" w:leader="none"/>
          <w:tab w:val="center" w:pos="4920" w:leader="none"/>
          <w:tab w:val="right" w:pos="9360" w:leader="none"/>
          <w:tab w:val="right" w:pos="9840" w:leader="none"/>
        </w:tabs>
        <w:ind w:left="576" w:hanging="288"/>
        <w:jc w:val="left"/>
        <w:rPr>
          <w:rFonts w:ascii="Times New Roman" w:hAnsi="Times New Roman" w:eastAsia="Times New Roman"/>
          <w14:ligatures w14:val="standard"/>
        </w:rPr>
      </w:pPr>
      <w:r>
        <w:rPr/>
        <w:t>Use a numbered list only when the list represents a sequence, such as the steps in a procedure:</w:t>
      </w:r>
      <w:r/>
    </w:p>
    <w:p>
      <w:pPr>
        <w:pStyle w:val="ListNumber"/>
        <w:widowControl/>
        <w:numPr>
          <w:ilvl w:val="0"/>
          <w:numId w:val="2"/>
        </w:numPr>
        <w:tabs>
          <w:tab w:val="left" w:pos="720" w:leader="none"/>
          <w:tab w:val="center" w:pos="4800" w:leader="none"/>
          <w:tab w:val="center" w:pos="4920" w:leader="none"/>
          <w:tab w:val="right" w:pos="9360" w:leader="none"/>
          <w:tab w:val="right" w:pos="9840" w:leader="none"/>
        </w:tabs>
        <w:ind w:left="576" w:hanging="288"/>
        <w:jc w:val="left"/>
        <w:rPr>
          <w:rFonts w:ascii="Times New Roman" w:hAnsi="Times New Roman" w:eastAsia="Times New Roman"/>
          <w14:ligatures w14:val="standard"/>
        </w:rPr>
      </w:pPr>
      <w:r>
        <w:rPr/>
        <w:t>This is the second item.</w:t>
      </w:r>
      <w:r/>
    </w:p>
    <w:p>
      <w:pPr>
        <w:pStyle w:val="Heading1"/>
      </w:pPr>
      <w:r>
        <w:rPr/>
        <w:t>Conclusion or Summary</w:t>
      </w:r>
      <w:r/>
    </w:p>
    <w:p>
      <w:pPr>
        <w:pStyle w:val="Normal"/>
      </w:pPr>
      <w:r>
        <w:rPr/>
        <w:t>The Conclusion or Summary section restates the major findings and suggests further research. It is the last main heading before the references.</w:t>
      </w:r>
      <w:r/>
    </w:p>
    <w:p>
      <w:pPr>
        <w:pStyle w:val="Heading2"/>
      </w:pPr>
      <w:r>
        <w:rPr/>
        <w:t>Acknowledgements</w:t>
      </w:r>
      <w:r/>
    </w:p>
    <w:p>
      <w:pPr>
        <w:pStyle w:val="Normal"/>
      </w:pPr>
      <w:r>
        <w:rPr/>
      </w:r>
      <w:r/>
    </w:p>
    <w:p>
      <w:pPr>
        <w:pStyle w:val="RefTitle"/>
      </w:pPr>
      <w:r>
        <w:rPr/>
        <w:t>References</w:t>
      </w:r>
      <w:r/>
    </w:p>
    <w:p>
      <w:pPr>
        <w:pStyle w:val="RefListing"/>
      </w:pPr>
      <w:r>
        <w:rPr>
          <w:color w:val="0070C0"/>
        </w:rPr>
        <w:t xml:space="preserve">Lastname, A. B., Author, C. D., &amp; Jones, E. (2014). Title of journal article. </w:t>
      </w:r>
      <w:r>
        <w:rPr>
          <w:i/>
          <w:color w:val="0070C0"/>
        </w:rPr>
        <w:t>Applied Eng. Agric., 78</w:t>
      </w:r>
      <w:r>
        <w:rPr>
          <w:color w:val="0070C0"/>
        </w:rPr>
        <w:t>(12),5-10. http://dx.doi.org/10.1234/14x.567.</w:t>
      </w:r>
      <w:r/>
    </w:p>
    <w:p>
      <w:pPr>
        <w:pStyle w:val="RefListing"/>
        <w:rPr>
          <w:color w:val="0070C0"/>
        </w:rPr>
      </w:pPr>
      <w:r>
        <w:rPr>
          <w:color w:val="0070C0"/>
        </w:rPr>
        <w:t>Author, A. B. (2014).</w:t>
      </w:r>
      <w:r>
        <w:rPr>
          <w:i/>
          <w:color w:val="0070C0"/>
        </w:rPr>
        <w:t xml:space="preserve"> Book Title.</w:t>
      </w:r>
      <w:r>
        <w:rPr>
          <w:color w:val="0070C0"/>
        </w:rPr>
        <w:t xml:space="preserve"> City, State: Publisher.</w:t>
      </w:r>
      <w:r/>
    </w:p>
    <w:p>
      <w:pPr>
        <w:pStyle w:val="RefListing"/>
        <w:rPr>
          <w:sz w:val="18"/>
          <w:spacing w:val="-2"/>
          <w:i/>
          <w:b w:val="false"/>
          <w:sz w:val="18"/>
          <w:i/>
          <w:b w:val="false"/>
          <w:szCs w:val="18"/>
          <w:bCs w:val="false"/>
          <w:rFonts w:ascii="Times New Roman" w:hAnsi="Times New Roman" w:eastAsia="Times New Roman" w:cs="Times New Roman"/>
          <w:color w:val="0070C0"/>
          <w:lang w:val="en-US" w:eastAsia="en-US" w:bidi="ar-SA"/>
        </w:rPr>
      </w:pPr>
      <w:r>
        <w:rPr>
          <w:rFonts w:eastAsia="Times New Roman"/>
          <w:b w:val="false"/>
          <w:bCs w:val="false"/>
          <w:i/>
          <w:color w:val="0070C0"/>
          <w:spacing w:val="-2"/>
          <w:sz w:val="18"/>
          <w:szCs w:val="18"/>
        </w:rPr>
        <w:t>Author, A. B. 2014. Patent title. U.S. Patent No. 123456.</w:t>
      </w:r>
      <w:r/>
    </w:p>
    <w:p>
      <w:pPr>
        <w:pStyle w:val="RefListing"/>
      </w:pPr>
      <w:r>
        <w:rPr>
          <w:rFonts w:eastAsia="Times New Roman"/>
          <w:b w:val="false"/>
          <w:bCs w:val="false"/>
          <w:i/>
          <w:color w:val="0070C0"/>
          <w:spacing w:val="-2"/>
          <w:sz w:val="18"/>
          <w:szCs w:val="18"/>
        </w:rPr>
        <w:t xml:space="preserve">Author, A. (2014). </w:t>
      </w:r>
      <w:r>
        <w:rPr>
          <w:rFonts w:eastAsia="Times New Roman"/>
          <w:b w:val="false"/>
          <w:bCs w:val="false"/>
          <w:i/>
          <w:iCs/>
          <w:color w:val="0070C0"/>
          <w:spacing w:val="-2"/>
          <w:sz w:val="18"/>
          <w:szCs w:val="18"/>
        </w:rPr>
        <w:t>Title of dissertation. PhD diss.[or MS thesis.]</w:t>
      </w:r>
      <w:r>
        <w:rPr>
          <w:rFonts w:eastAsia="Times New Roman"/>
          <w:b w:val="false"/>
          <w:bCs w:val="false"/>
          <w:i/>
          <w:color w:val="0070C0"/>
          <w:spacing w:val="-2"/>
          <w:sz w:val="18"/>
          <w:szCs w:val="18"/>
        </w:rPr>
        <w:t xml:space="preserve"> City, State or Nation: University Name, Department of Engineering.</w:t>
      </w:r>
      <w:r/>
    </w:p>
    <w:p>
      <w:pPr>
        <w:pStyle w:val="RefListing"/>
        <w:rPr>
          <w:i/>
          <w:b/>
          <w:i/>
          <w:b/>
          <w:color w:val="0070C0"/>
        </w:rPr>
      </w:pPr>
      <w:r>
        <w:rPr>
          <w:b/>
          <w:i/>
          <w:color w:val="0070C0"/>
        </w:rPr>
        <w:t>Part of a Book</w:t>
      </w:r>
      <w:r/>
    </w:p>
    <w:p>
      <w:pPr>
        <w:pStyle w:val="RefListing"/>
        <w:rPr>
          <w:color w:val="0070C0"/>
        </w:rPr>
      </w:pPr>
      <w:r>
        <w:rPr>
          <w:color w:val="0070C0"/>
        </w:rPr>
        <w:t xml:space="preserve">Author, A., Twoauthor, B. C. (1987). Section or chapter title. In </w:t>
      </w:r>
      <w:r>
        <w:rPr>
          <w:i/>
          <w:iCs/>
          <w:color w:val="0070C0"/>
        </w:rPr>
        <w:t>Book Title</w:t>
      </w:r>
      <w:r>
        <w:rPr>
          <w:color w:val="0070C0"/>
        </w:rPr>
        <w:t>, (pp. 17-34). City, State: Publisher.</w:t>
      </w:r>
      <w:r/>
    </w:p>
    <w:p>
      <w:pPr>
        <w:pStyle w:val="RefListing"/>
      </w:pPr>
      <w:r>
        <w:rPr>
          <w:color w:val="0070C0"/>
        </w:rPr>
        <w:t xml:space="preserve">Chapterauthor, A. (1987). Section or chapter title. In B. Bookeditor (Ed.), </w:t>
      </w:r>
      <w:r>
        <w:rPr>
          <w:i/>
          <w:iCs/>
          <w:color w:val="0070C0"/>
        </w:rPr>
        <w:t>Book Title</w:t>
      </w:r>
      <w:r>
        <w:rPr>
          <w:color w:val="0070C0"/>
        </w:rPr>
        <w:t>, (pp. 17-34). City, State or Nation if not U.S.: Publisher.</w:t>
      </w:r>
      <w:r/>
    </w:p>
    <w:p>
      <w:pPr>
        <w:pStyle w:val="RefListing"/>
        <w:rPr>
          <w:i/>
          <w:b/>
          <w:i/>
          <w:b/>
          <w:color w:val="0070C0"/>
        </w:rPr>
      </w:pPr>
      <w:r>
        <w:rPr>
          <w:b/>
          <w:i/>
          <w:color w:val="0070C0"/>
        </w:rPr>
        <w:t>Standard</w:t>
      </w:r>
      <w:r/>
    </w:p>
    <w:p>
      <w:pPr>
        <w:pStyle w:val="RefListing"/>
        <w:rPr>
          <w:color w:val="0070C0"/>
        </w:rPr>
      </w:pPr>
      <w:r>
        <w:rPr>
          <w:color w:val="0070C0"/>
        </w:rPr>
        <w:t>ASABE Standards. (2008). S358.2: Moisture measurement—Forages. St. Joseph, Mich.: ASABE.</w:t>
      </w:r>
      <w:r/>
    </w:p>
    <w:p>
      <w:pPr>
        <w:pStyle w:val="RefListing"/>
      </w:pPr>
      <w:r>
        <w:rPr>
          <w:color w:val="0070C0"/>
        </w:rPr>
        <w:t>ABCD. (2014) 12343: Standard name. City, State: ABCD (spell out if unfamiliar).</w:t>
      </w:r>
      <w:r/>
    </w:p>
    <w:p>
      <w:pPr>
        <w:pStyle w:val="RefListing"/>
        <w:rPr>
          <w:i/>
          <w:b/>
          <w:i/>
          <w:b/>
          <w:color w:val="0070C0"/>
        </w:rPr>
      </w:pPr>
      <w:r>
        <w:rPr>
          <w:b/>
          <w:i/>
          <w:color w:val="0070C0"/>
        </w:rPr>
        <w:t>Bulletin or Report</w:t>
      </w:r>
      <w:r/>
    </w:p>
    <w:p>
      <w:pPr>
        <w:pStyle w:val="RefListing"/>
        <w:rPr>
          <w:color w:val="0070C0"/>
        </w:rPr>
      </w:pPr>
      <w:r>
        <w:rPr>
          <w:color w:val="0070C0"/>
        </w:rPr>
        <w:t xml:space="preserve">Bulletins, reports, and other small, self-contained documents often do not have named authors. For the purpose of citing the document in your manuscript, use the name of the publishing organization as the author, abbreviated if necessary. Do not use “Anonymous.” </w:t>
      </w:r>
      <w:r/>
    </w:p>
    <w:p>
      <w:pPr>
        <w:pStyle w:val="RefListing"/>
        <w:rPr>
          <w:color w:val="0070C0"/>
        </w:rPr>
      </w:pPr>
      <w:r>
        <w:rPr>
          <w:color w:val="0070C0"/>
        </w:rPr>
        <w:t>ABCC. (2004). Report title. X1234. City, State or Nation if not US : ABC Commission. Retrieved from www.abcc.gov/x1234.pdf .</w:t>
      </w:r>
      <w:r/>
    </w:p>
    <w:p>
      <w:pPr>
        <w:pStyle w:val="RefListing"/>
        <w:rPr>
          <w:sz w:val="18"/>
          <w:spacing w:val="-2"/>
          <w:i/>
          <w:b/>
          <w:sz w:val="18"/>
          <w:i/>
          <w:b/>
          <w:szCs w:val="18"/>
          <w:rFonts w:ascii="Times New Roman" w:hAnsi="Times New Roman" w:eastAsia="Times New Roman" w:cs="Times New Roman"/>
          <w:color w:val="0070C0"/>
          <w:lang w:val="en-US" w:eastAsia="en-US" w:bidi="ar-SA"/>
        </w:rPr>
      </w:pPr>
      <w:r>
        <w:rPr>
          <w:rFonts w:eastAsia="Times New Roman"/>
          <w:b/>
          <w:i/>
          <w:color w:val="0070C0"/>
          <w:spacing w:val="-2"/>
          <w:sz w:val="18"/>
          <w:szCs w:val="18"/>
        </w:rPr>
      </w:r>
      <w:r/>
    </w:p>
    <w:p>
      <w:pPr>
        <w:pStyle w:val="RefListing"/>
        <w:rPr>
          <w:i/>
          <w:b/>
          <w:i/>
          <w:b/>
          <w:color w:val="0070C0"/>
        </w:rPr>
      </w:pPr>
      <w:r>
        <w:rPr>
          <w:b/>
          <w:i/>
          <w:color w:val="0070C0"/>
        </w:rPr>
        <w:t>Paper from a Meeting</w:t>
      </w:r>
      <w:r/>
    </w:p>
    <w:p>
      <w:pPr>
        <w:pStyle w:val="RefListing"/>
        <w:rPr>
          <w:color w:val="0070C0"/>
        </w:rPr>
      </w:pPr>
      <w:r>
        <w:rPr>
          <w:color w:val="0070C0"/>
        </w:rPr>
        <w:t xml:space="preserve">Author, A. B., &amp; Name, C. D. (2014a). </w:t>
      </w:r>
      <w:r>
        <w:rPr>
          <w:iCs/>
          <w:color w:val="0070C0"/>
        </w:rPr>
        <w:t>Title of paper.</w:t>
      </w:r>
      <w:r>
        <w:rPr>
          <w:color w:val="0070C0"/>
        </w:rPr>
        <w:t xml:space="preserve"> ASABE Paper No. 1401234. St. Joseph, Mich.: ASABE.</w:t>
      </w:r>
      <w:r/>
    </w:p>
    <w:p>
      <w:pPr>
        <w:pStyle w:val="RefListing"/>
      </w:pPr>
      <w:r>
        <w:rPr>
          <w:color w:val="0070C0"/>
        </w:rPr>
        <w:t xml:space="preserve">Author, A. B., &amp; Name, C. D. (2014b). Title of paper. In </w:t>
      </w:r>
      <w:r>
        <w:rPr>
          <w:i/>
          <w:color w:val="0070C0"/>
        </w:rPr>
        <w:t xml:space="preserve">Proc. </w:t>
      </w:r>
      <w:r>
        <w:rPr>
          <w:i/>
          <w:iCs/>
          <w:color w:val="0070C0"/>
        </w:rPr>
        <w:t xml:space="preserve">10th Intl. Conf. Agricultural Engineering </w:t>
      </w:r>
      <w:r>
        <w:rPr>
          <w:iCs/>
          <w:color w:val="0070C0"/>
        </w:rPr>
        <w:t>(pp. 55-66).</w:t>
      </w:r>
      <w:r>
        <w:rPr>
          <w:color w:val="0070C0"/>
        </w:rPr>
        <w:t xml:space="preserve"> St. Joseph, Mich.: ASABE.</w:t>
      </w:r>
      <w:r/>
    </w:p>
    <w:p>
      <w:pPr>
        <w:pStyle w:val="Appendix"/>
        <w:keepNext/>
        <w:rPr>
          <w:smallCaps/>
          <w:sz w:val="28"/>
          <w:b/>
          <w:sz w:val="28"/>
          <w:b/>
          <w:rFonts w:ascii="Times New Roman Bold" w:hAnsi="Times New Roman Bold" w:eastAsia="Times New Roman"/>
          <w:lang w:val="x-none" w:eastAsia="x-none"/>
          <w14:ligatures w14:val="standard"/>
        </w:rPr>
      </w:pPr>
      <w:r>
        <w:rPr/>
        <w:t>Appendix or Nomenclature</w:t>
      </w:r>
      <w:r/>
    </w:p>
    <w:p>
      <w:pPr>
        <w:pStyle w:val="AppendixBody"/>
      </w:pPr>
      <w:r>
        <w:rPr/>
        <w:t>These optional section can include lists of nomenclature or abbreviations, data, or tables that are too long to include in the body of the article.</w:t>
      </w:r>
      <w:r/>
    </w:p>
    <w:p>
      <w:pPr>
        <w:pStyle w:val="Normal"/>
        <w:widowControl/>
        <w:spacing w:lineRule="auto" w:line="240"/>
        <w:ind w:hanging="0"/>
        <w:jc w:val="left"/>
        <w:rPr>
          <w:sz w:val="20"/>
          <w:sz w:val="20"/>
          <w:szCs w:val="20"/>
          <w:rFonts w:ascii="Times New Roman" w:hAnsi="Times New Roman" w:eastAsia="Times New Roman" w:cs="Times New Roman"/>
          <w:color w:val="00000A"/>
          <w:lang w:val="en-US" w:eastAsia="en-US" w:bidi="ar-SA"/>
        </w:rPr>
      </w:pPr>
      <w:r>
        <w:rPr/>
      </w:r>
      <w:r/>
    </w:p>
    <w:sectPr>
      <w:headerReference w:type="first" r:id="rId4"/>
      <w:footerReference w:type="even" r:id="rId5"/>
      <w:footerReference w:type="default" r:id="rId6"/>
      <w:footerReference w:type="first" r:id="rId7"/>
      <w:type w:val="nextPage"/>
      <w:pgSz w:w="12240" w:h="15840"/>
      <w:pgMar w:left="1200" w:right="1200" w:header="0" w:top="720" w:footer="480" w:bottom="1296"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Bold">
    <w:charset w:val="01"/>
    <w:family w:val="roman"/>
    <w:pitch w:val="variable"/>
  </w:font>
  <w:font w:name="Times New Roman Italic">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tLeast" w:line="200" w:before="60" w:after="0"/>
      <w:ind w:hanging="0"/>
      <w:rPr>
        <w:lang w:val="en-US"/>
      </w:rPr>
    </w:pPr>
    <w:r>
      <w:rPr/>
      <w:fldChar w:fldCharType="begin"/>
    </w:r>
    <w:r>
      <w:instrText> PAGE </w:instrText>
    </w:r>
    <w:r>
      <w:fldChar w:fldCharType="separate"/>
    </w:r>
    <w:r>
      <w:t>12</w:t>
    </w:r>
    <w:r>
      <w:fldChar w:fldCharType="end"/>
    </w:r>
    <w:r>
      <w:rPr/>
      <w:tab/>
      <w:tab/>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tLeast" w:line="200" w:before="60" w:after="0"/>
      <w:ind w:hanging="0"/>
      <w:rPr>
        <w:lang w:val="en-US"/>
      </w:rPr>
    </w:pPr>
    <w:r>
      <w:rPr/>
      <w:tab/>
      <w:tab/>
      <w:t xml:space="preserve"> </w:t>
    </w:r>
    <w:r>
      <w:rPr/>
      <w:fldChar w:fldCharType="begin"/>
    </w:r>
    <w:r>
      <w:instrText> PAGE </w:instrText>
    </w:r>
    <w:r>
      <w:fldChar w:fldCharType="separate"/>
    </w:r>
    <w:r>
      <w:t>11</w:t>
    </w:r>
    <w:r>
      <w:fldChar w:fldCharType="end"/>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tLeast" w:line="200" w:before="60" w:after="0"/>
      <w:ind w:hanging="0"/>
      <w:rPr>
        <w:lang w:val="en-US"/>
      </w:rPr>
    </w:pPr>
    <w:r>
      <w:rPr/>
      <w:fldChar w:fldCharType="begin"/>
    </w:r>
    <w:r>
      <w:instrText> PAGE </w:instrText>
    </w:r>
    <w:r>
      <w:fldChar w:fldCharType="separate"/>
    </w:r>
    <w:r>
      <w:t>1</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p>
    <w:pPr>
      <w:pStyle w:val="Header"/>
    </w:pPr>
    <w:r>
      <w:rPr/>
    </w:r>
    <w:r/>
  </w:p>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60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count="267" w:defQFormat="0" w:defUnhideWhenUsed="0" w:defSemiHidden="0" w:defUIPriority="99" w:defLockedState="0">
    <w:lsdException w:qFormat="1" w:uiPriority="0"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qFormat="1" w:semiHidden="1" w:unhideWhenUsed="1" w:uiPriority="39" w:name="toc 1"/>
    <w:lsdException w:qFormat="1" w:semiHidden="1" w:unhideWhenUsed="1" w:uiPriority="39" w:name="toc 2"/>
    <w:lsdException w:qFormat="1"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uiPriority="0" w:locked="1" w:name="annotation text"/>
    <w:lsdException w:semiHidden="1" w:unhideWhenUsed="1" w:name="header"/>
    <w:lsdException w:semiHidden="1" w:unhideWhenUsed="1" w:name="footer"/>
    <w:lsdException w:semiHidden="1" w:unhideWhenUsed="1" w:name="index heading"/>
    <w:lsdException w:qFormat="1" w:uiPriority="0" w:name="caption"/>
    <w:lsdException w:semiHidden="1" w:unhideWhenUsed="1" w:name="table of figures"/>
    <w:lsdException w:semiHidden="1" w:unhideWhenUsed="1" w:name="envelope address"/>
    <w:lsdException w:semiHidden="1" w:unhideWhenUsed="1" w:name="envelope return"/>
    <w:lsdException w:semiHidden="1" w:unhideWhenUsed="1" w:uiPriority="0"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name="List"/>
    <w:lsdException w:semiHidden="1" w:unhideWhenUsed="1" w:name="List Number"/>
    <w:lsdException w:semiHidden="1" w:name="List 2"/>
    <w:lsdException w:semiHidden="1" w:name="List 3"/>
    <w:lsdException w:semiHidden="1" w:name="List 4"/>
    <w:lsdException w:semiHidden="1" w:name="Lis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locked="1" w:name="Emphasis"/>
    <w:lsdException w:semiHidden="1" w:unhideWhenUsed="1" w:uiPriority="0"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uiPriority="0"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semiHidden="1" w:unhideWhenUsed="1" w:name="Table Theme"/>
    <w:lsdException w:semiHidden="1" w:name="Placeholder Text"/>
    <w:lsdException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uiPriority="39" w:name="TOC Heading"/>
  </w:latentStyles>
  <w:style w:type="paragraph" w:styleId="Normal" w:default="1">
    <w:name w:val="Normal"/>
    <w:qFormat/>
    <w:rsid w:val="00db2dc7"/>
    <w:pPr>
      <w:widowControl w:val="false"/>
      <w:tabs>
        <w:tab w:val="center" w:pos="4920" w:leader="none"/>
        <w:tab w:val="right" w:pos="9840" w:leader="none"/>
      </w:tabs>
      <w:suppressAutoHyphens w:val="true"/>
      <w:bidi w:val="0"/>
      <w:spacing w:lineRule="auto" w:line="480"/>
      <w:ind w:firstLine="240"/>
      <w:jc w:val="both"/>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uiPriority w:val="99"/>
    <w:qFormat/>
    <w:rsid w:val="00e9057f"/>
    <w:pPr>
      <w:keepNext/>
      <w:widowControl/>
      <w:suppressAutoHyphens w:val="true"/>
      <w:spacing w:lineRule="auto" w:line="240" w:before="440" w:after="0"/>
      <w:ind w:hanging="0"/>
      <w:jc w:val="left"/>
      <w:outlineLvl w:val="0"/>
    </w:pPr>
    <w:rPr>
      <w:rFonts w:ascii="Times New Roman Bold" w:hAnsi="Times New Roman Bold"/>
      <w:b/>
      <w:smallCaps/>
      <w:sz w:val="28"/>
      <w:lang w:val="x-none" w:eastAsia="x-none"/>
      <w14:ligatures w14:val="standard"/>
    </w:rPr>
  </w:style>
  <w:style w:type="paragraph" w:styleId="Heading2">
    <w:name w:val="Heading 2"/>
    <w:basedOn w:val="Heading1"/>
    <w:next w:val="Normal"/>
    <w:link w:val="Heading2Char"/>
    <w:uiPriority w:val="99"/>
    <w:qFormat/>
    <w:rsid w:val="005e471d"/>
    <w:pPr>
      <w:spacing w:before="220" w:after="0"/>
      <w:outlineLvl w:val="1"/>
    </w:pPr>
    <w:rPr>
      <w:sz w:val="20"/>
    </w:rPr>
  </w:style>
  <w:style w:type="paragraph" w:styleId="Heading3">
    <w:name w:val="Heading 3"/>
    <w:basedOn w:val="Heading2"/>
    <w:next w:val="Normal"/>
    <w:link w:val="Heading3Char"/>
    <w:uiPriority w:val="99"/>
    <w:qFormat/>
    <w:rsid w:val="00735647"/>
    <w:pPr>
      <w:spacing w:lineRule="atLeast" w:line="220" w:before="120" w:after="0"/>
      <w:outlineLvl w:val="2"/>
    </w:pPr>
    <w:rPr>
      <w:i/>
      <w:caps w:val="false"/>
      <w:smallCaps w:val="false"/>
    </w:rPr>
  </w:style>
  <w:style w:type="paragraph" w:styleId="Heading4">
    <w:name w:val="Heading 4"/>
    <w:basedOn w:val="Normal"/>
    <w:next w:val="Normal"/>
    <w:link w:val="Heading4Char"/>
    <w:uiPriority w:val="99"/>
    <w:qFormat/>
    <w:rsid w:val="00db2dc7"/>
    <w:pPr>
      <w:keepNext/>
      <w:spacing w:before="120" w:after="0"/>
      <w:ind w:hanging="0"/>
      <w:outlineLvl w:val="3"/>
    </w:pPr>
    <w:rPr>
      <w:rFonts w:ascii="Times New Roman Italic" w:hAnsi="Times New Roman Italic"/>
      <w:i/>
      <w:lang w:val="x-none" w:eastAsia="x-none"/>
    </w:rPr>
  </w:style>
  <w:style w:type="paragraph" w:styleId="Heading5">
    <w:name w:val="Heading 5"/>
    <w:basedOn w:val="Heading4"/>
    <w:next w:val="Normal"/>
    <w:link w:val="Heading5Char"/>
    <w:uiPriority w:val="99"/>
    <w:qFormat/>
    <w:rsid w:val="00db2dc7"/>
    <w:pPr>
      <w:spacing w:before="240" w:after="60"/>
      <w:outlineLvl w:val="4"/>
    </w:pPr>
    <w:rPr/>
  </w:style>
  <w:style w:type="paragraph" w:styleId="Heading6">
    <w:name w:val="Heading 6"/>
    <w:basedOn w:val="Heading4"/>
    <w:next w:val="Normal"/>
    <w:link w:val="Heading6Char"/>
    <w:uiPriority w:val="99"/>
    <w:qFormat/>
    <w:rsid w:val="00db2dc7"/>
    <w:pPr>
      <w:spacing w:before="240" w:after="60"/>
      <w:outlineLvl w:val="5"/>
    </w:pPr>
    <w:rPr>
      <w:i w:val="false"/>
    </w:rPr>
  </w:style>
  <w:style w:type="paragraph" w:styleId="Heading7">
    <w:name w:val="Heading 7"/>
    <w:basedOn w:val="Heading4"/>
    <w:next w:val="Normal"/>
    <w:link w:val="Heading7Char"/>
    <w:uiPriority w:val="99"/>
    <w:qFormat/>
    <w:rsid w:val="00db2dc7"/>
    <w:pPr>
      <w:spacing w:before="240" w:after="60"/>
      <w:outlineLvl w:val="6"/>
    </w:pPr>
    <w:rPr/>
  </w:style>
  <w:style w:type="paragraph" w:styleId="Heading8">
    <w:name w:val="Heading 8"/>
    <w:basedOn w:val="Heading4"/>
    <w:next w:val="Normal"/>
    <w:link w:val="Heading8Char"/>
    <w:uiPriority w:val="99"/>
    <w:qFormat/>
    <w:rsid w:val="00db2dc7"/>
    <w:pPr>
      <w:spacing w:before="240" w:after="60"/>
      <w:outlineLvl w:val="7"/>
    </w:pPr>
    <w:rPr>
      <w:i w:val="false"/>
    </w:rPr>
  </w:style>
  <w:style w:type="paragraph" w:styleId="Heading9">
    <w:name w:val="Heading 9"/>
    <w:basedOn w:val="Heading4"/>
    <w:next w:val="Normal"/>
    <w:link w:val="Heading9Char"/>
    <w:uiPriority w:val="99"/>
    <w:qFormat/>
    <w:rsid w:val="00db2dc7"/>
    <w:pPr>
      <w:spacing w:before="240" w:after="60"/>
      <w:outlineLvl w:val="8"/>
    </w:pPr>
    <w:rPr>
      <w:i w:val="false"/>
    </w:rPr>
  </w:style>
  <w:style w:type="character" w:styleId="DefaultParagraphFont" w:default="1">
    <w:name w:val="Default Paragraph Font"/>
    <w:uiPriority w:val="1"/>
    <w:semiHidden/>
    <w:unhideWhenUsed/>
    <w:rPr/>
  </w:style>
  <w:style w:type="character" w:styleId="Heading1Char" w:customStyle="1">
    <w:name w:val="Heading 1 Char"/>
    <w:link w:val="Heading1"/>
    <w:uiPriority w:val="99"/>
    <w:rsid w:val="00e9057f"/>
    <w:rPr>
      <w:rFonts w:ascii="Times New Roman Bold" w:hAnsi="Times New Roman Bold" w:eastAsia="Times New Roman"/>
      <w:b/>
      <w:smallCaps/>
      <w:sz w:val="28"/>
      <w:lang w:val="x-none" w:eastAsia="x-none"/>
      <w14:ligatures w14:val="standard"/>
    </w:rPr>
  </w:style>
  <w:style w:type="character" w:styleId="Heading2Char" w:customStyle="1">
    <w:name w:val="Heading 2 Char"/>
    <w:link w:val="Heading2"/>
    <w:uiPriority w:val="99"/>
    <w:rsid w:val="005e471d"/>
    <w:rPr>
      <w:rFonts w:ascii="Times New Roman Bold" w:hAnsi="Times New Roman Bold" w:eastAsia="Times New Roman"/>
      <w:b/>
      <w:smallCaps/>
      <w:lang w:val="x-none" w:eastAsia="x-none"/>
      <w14:ligatures w14:val="standard"/>
    </w:rPr>
  </w:style>
  <w:style w:type="character" w:styleId="Heading3Char" w:customStyle="1">
    <w:name w:val="Heading 3 Char"/>
    <w:link w:val="Heading3"/>
    <w:uiPriority w:val="99"/>
    <w:rsid w:val="00735647"/>
    <w:rPr>
      <w:rFonts w:ascii="Times New Roman Bold" w:hAnsi="Times New Roman Bold" w:eastAsia="Times New Roman"/>
      <w:b/>
      <w:i/>
      <w:lang w:val="x-none" w:eastAsia="x-none"/>
      <w14:ligatures w14:val="standard"/>
    </w:rPr>
  </w:style>
  <w:style w:type="character" w:styleId="Heading4Char" w:customStyle="1">
    <w:name w:val="Heading 4 Char"/>
    <w:link w:val="Heading4"/>
    <w:uiPriority w:val="99"/>
    <w:rsid w:val="00db2dc7"/>
    <w:rPr>
      <w:rFonts w:ascii="Times New Roman Italic" w:hAnsi="Times New Roman Italic" w:eastAsia="Times New Roman"/>
      <w:i/>
      <w:lang w:val="x-none" w:eastAsia="x-none"/>
    </w:rPr>
  </w:style>
  <w:style w:type="character" w:styleId="Heading5Char" w:customStyle="1">
    <w:name w:val="Heading 5 Char"/>
    <w:link w:val="Heading5"/>
    <w:uiPriority w:val="99"/>
    <w:rsid w:val="00db2dc7"/>
    <w:rPr>
      <w:rFonts w:ascii="Times New Roman Italic" w:hAnsi="Times New Roman Italic" w:eastAsia="Times New Roman"/>
      <w:i/>
      <w:lang w:val="x-none" w:eastAsia="x-none"/>
    </w:rPr>
  </w:style>
  <w:style w:type="character" w:styleId="Heading6Char" w:customStyle="1">
    <w:name w:val="Heading 6 Char"/>
    <w:link w:val="Heading6"/>
    <w:uiPriority w:val="99"/>
    <w:rsid w:val="00db2dc7"/>
    <w:rPr>
      <w:rFonts w:ascii="Times New Roman Italic" w:hAnsi="Times New Roman Italic" w:eastAsia="Times New Roman"/>
      <w:lang w:val="x-none" w:eastAsia="x-none"/>
    </w:rPr>
  </w:style>
  <w:style w:type="character" w:styleId="Heading7Char" w:customStyle="1">
    <w:name w:val="Heading 7 Char"/>
    <w:link w:val="Heading7"/>
    <w:uiPriority w:val="99"/>
    <w:rsid w:val="00db2dc7"/>
    <w:rPr>
      <w:rFonts w:ascii="Times New Roman Italic" w:hAnsi="Times New Roman Italic" w:eastAsia="Times New Roman"/>
      <w:i/>
      <w:lang w:val="x-none" w:eastAsia="x-none"/>
    </w:rPr>
  </w:style>
  <w:style w:type="character" w:styleId="Heading8Char" w:customStyle="1">
    <w:name w:val="Heading 8 Char"/>
    <w:link w:val="Heading8"/>
    <w:uiPriority w:val="99"/>
    <w:rsid w:val="00db2dc7"/>
    <w:rPr>
      <w:rFonts w:ascii="Times New Roman Italic" w:hAnsi="Times New Roman Italic" w:eastAsia="Times New Roman"/>
      <w:lang w:val="x-none" w:eastAsia="x-none"/>
    </w:rPr>
  </w:style>
  <w:style w:type="character" w:styleId="Heading9Char" w:customStyle="1">
    <w:name w:val="Heading 9 Char"/>
    <w:link w:val="Heading9"/>
    <w:uiPriority w:val="99"/>
    <w:rsid w:val="00db2dc7"/>
    <w:rPr>
      <w:rFonts w:ascii="Times New Roman Italic" w:hAnsi="Times New Roman Italic" w:eastAsia="Times New Roman"/>
      <w:lang w:val="x-none" w:eastAsia="x-none"/>
    </w:rPr>
  </w:style>
  <w:style w:type="character" w:styleId="FootnoteTextChar" w:customStyle="1">
    <w:name w:val="Footnote Text Char"/>
    <w:link w:val="FootnoteText"/>
    <w:uiPriority w:val="99"/>
    <w:rsid w:val="00f910f0"/>
    <w:rPr>
      <w:rFonts w:ascii="Times New Roman" w:hAnsi="Times New Roman" w:eastAsia="Times New Roman"/>
    </w:rPr>
  </w:style>
  <w:style w:type="character" w:styleId="Footnotereference">
    <w:name w:val="footnote reference"/>
    <w:uiPriority w:val="99"/>
    <w:rsid w:val="00f910f0"/>
    <w:rPr>
      <w:rFonts w:cs="Times New Roman"/>
      <w:vertAlign w:val="superscript"/>
    </w:rPr>
  </w:style>
  <w:style w:type="character" w:styleId="EndnoteTextChar" w:customStyle="1">
    <w:name w:val="Endnote Text Char"/>
    <w:link w:val="EndnoteText"/>
    <w:uiPriority w:val="99"/>
    <w:semiHidden/>
    <w:rsid w:val="00f910f0"/>
    <w:rPr>
      <w:rFonts w:ascii="Times New Roman" w:hAnsi="Times New Roman" w:eastAsia="Times New Roman"/>
    </w:rPr>
  </w:style>
  <w:style w:type="character" w:styleId="Endnotereference">
    <w:name w:val="endnote reference"/>
    <w:uiPriority w:val="99"/>
    <w:semiHidden/>
    <w:unhideWhenUsed/>
    <w:rsid w:val="00f910f0"/>
    <w:rPr>
      <w:vertAlign w:val="superscript"/>
    </w:rPr>
  </w:style>
  <w:style w:type="character" w:styleId="HeaderChar" w:customStyle="1">
    <w:name w:val="Header Char"/>
    <w:link w:val="Header"/>
    <w:uiPriority w:val="99"/>
    <w:rsid w:val="001a04dd"/>
    <w:rPr>
      <w:rFonts w:ascii="Times New Roman" w:hAnsi="Times New Roman" w:eastAsia="Times New Roman"/>
      <w:lang w:val="x-none" w:eastAsia="x-none"/>
      <w14:ligatures w14:val="standard"/>
    </w:rPr>
  </w:style>
  <w:style w:type="character" w:styleId="FooterChar" w:customStyle="1">
    <w:name w:val="Footer Char"/>
    <w:link w:val="Footer"/>
    <w:uiPriority w:val="99"/>
    <w:rsid w:val="001a04dd"/>
    <w:rPr>
      <w:rFonts w:ascii="Times New Roman" w:hAnsi="Times New Roman" w:eastAsia="Times New Roman"/>
      <w:sz w:val="16"/>
      <w:lang w:val="x-none" w:eastAsia="x-none"/>
      <w14:ligatures w14:val="standard"/>
    </w:rPr>
  </w:style>
  <w:style w:type="character" w:styleId="InternetLink">
    <w:name w:val="Internet Link"/>
    <w:uiPriority w:val="99"/>
    <w:rsid w:val="00db2dc7"/>
    <w:rPr>
      <w:rFonts w:ascii="Times New Roman" w:hAnsi="Times New Roman" w:cs="Times New Roman"/>
      <w:color w:val="0000FF"/>
      <w:sz w:val="20"/>
      <w:u w:val="single"/>
      <w:lang w:val="zxx" w:eastAsia="zxx" w:bidi="zxx"/>
    </w:rPr>
  </w:style>
  <w:style w:type="character" w:styleId="TitleChar" w:customStyle="1">
    <w:name w:val="Title Char"/>
    <w:link w:val="Title"/>
    <w:uiPriority w:val="99"/>
    <w:rsid w:val="00f910f0"/>
    <w:rPr>
      <w:rFonts w:ascii="Times New Roman" w:hAnsi="Times New Roman" w:eastAsia="Times New Roman"/>
      <w:smallCaps/>
      <w:sz w:val="36"/>
    </w:rPr>
  </w:style>
  <w:style w:type="character" w:styleId="BodyTextChar" w:customStyle="1">
    <w:name w:val="Body Text Char"/>
    <w:link w:val="BodyText"/>
    <w:uiPriority w:val="99"/>
    <w:semiHidden/>
    <w:rsid w:val="00996f16"/>
    <w:rPr>
      <w:rFonts w:ascii="Times New Roman" w:hAnsi="Times New Roman"/>
    </w:rPr>
  </w:style>
  <w:style w:type="character" w:styleId="CommentTextChar" w:customStyle="1">
    <w:name w:val="Comment Text Char"/>
    <w:link w:val="CommentText"/>
    <w:semiHidden/>
    <w:rsid w:val="00c6358b"/>
    <w:rPr>
      <w:rFonts w:ascii="Times New Roman" w:hAnsi="Times New Roman" w:eastAsia="Times New Roman" w:cs="Times New Roman"/>
      <w:sz w:val="20"/>
      <w:szCs w:val="20"/>
    </w:rPr>
  </w:style>
  <w:style w:type="character" w:styleId="Annotationreference">
    <w:name w:val="annotation reference"/>
    <w:semiHidden/>
    <w:rsid w:val="00017834"/>
    <w:rPr>
      <w:sz w:val="16"/>
      <w:szCs w:val="16"/>
    </w:rPr>
  </w:style>
  <w:style w:type="character" w:styleId="CommentSubjectChar" w:customStyle="1">
    <w:name w:val="Comment Subject Char"/>
    <w:link w:val="CommentSubject"/>
    <w:semiHidden/>
    <w:rsid w:val="00017834"/>
    <w:rPr>
      <w:rFonts w:ascii="Times New Roman" w:hAnsi="Times New Roman" w:eastAsia="Times New Roman" w:cs="Times New Roman"/>
      <w:b/>
      <w:bCs/>
      <w:sz w:val="20"/>
      <w:szCs w:val="20"/>
    </w:rPr>
  </w:style>
  <w:style w:type="character" w:styleId="DocumentMapChar" w:customStyle="1">
    <w:name w:val="Document Map Char"/>
    <w:link w:val="DocumentMap"/>
    <w:semiHidden/>
    <w:rsid w:val="00017834"/>
    <w:rPr>
      <w:rFonts w:ascii="Tahoma" w:hAnsi="Tahoma" w:eastAsia="Times New Roman" w:cs="Tahoma"/>
      <w:sz w:val="16"/>
      <w:szCs w:val="16"/>
    </w:rPr>
  </w:style>
  <w:style w:type="character" w:styleId="Pagenumber">
    <w:name w:val="page number"/>
    <w:uiPriority w:val="99"/>
    <w:rsid w:val="00f910f0"/>
    <w:rPr>
      <w:rFonts w:cs="Times New Roman"/>
    </w:rPr>
  </w:style>
  <w:style w:type="character" w:styleId="AbstractTitle" w:customStyle="1">
    <w:name w:val="Abstract Title"/>
    <w:uiPriority w:val="1"/>
    <w:qFormat/>
    <w:rsid w:val="003b65f7"/>
    <w:rPr>
      <w:rFonts w:ascii="Times New Roman Bold" w:hAnsi="Times New Roman Bold"/>
      <w:b/>
      <w:i/>
      <w:smallCaps/>
    </w:rPr>
  </w:style>
  <w:style w:type="character" w:styleId="Linenumber">
    <w:name w:val="line number"/>
    <w:uiPriority w:val="99"/>
    <w:rsid w:val="00301532"/>
    <w:rPr>
      <w:rFonts w:ascii="Arial" w:hAnsi="Arial" w:cs="Times New Roman"/>
      <w:caps w:val="false"/>
      <w:smallCaps w:val="false"/>
      <w:strike w:val="false"/>
      <w:dstrike w:val="false"/>
      <w:vanish w:val="false"/>
      <w:color w:val="00000A"/>
      <w:position w:val="0"/>
      <w:sz w:val="20"/>
      <w:sz w:val="20"/>
      <w:vertAlign w:val="baseline"/>
    </w:rPr>
  </w:style>
  <w:style w:type="character" w:styleId="BalloonTextChar" w:customStyle="1">
    <w:name w:val="Balloon Text Char"/>
    <w:basedOn w:val="DefaultParagraphFont"/>
    <w:link w:val="BalloonText"/>
    <w:uiPriority w:val="99"/>
    <w:semiHidden/>
    <w:rsid w:val="008650dc"/>
    <w:rPr>
      <w:rFonts w:ascii="Tahoma" w:hAnsi="Tahoma" w:eastAsia="Times New Roman" w:cs="Tahoma"/>
      <w:sz w:val="16"/>
      <w:szCs w:val="16"/>
    </w:rPr>
  </w:style>
  <w:style w:type="character" w:styleId="FollowedHyperlink">
    <w:name w:val="FollowedHyperlink"/>
    <w:basedOn w:val="DefaultParagraphFont"/>
    <w:uiPriority w:val="99"/>
    <w:semiHidden/>
    <w:unhideWhenUsed/>
    <w:rsid w:val="00ad1078"/>
    <w:rPr>
      <w:color w:val="800080" w:themeColor="followedHyperlink"/>
      <w:u w:val="single"/>
    </w:rPr>
  </w:style>
  <w:style w:type="character" w:styleId="ListLabel1">
    <w:name w:val="ListLabel 1"/>
    <w:rPr>
      <w:rFonts w:cs="Courier New"/>
    </w:rPr>
  </w:style>
  <w:style w:type="character" w:styleId="ListLabel2">
    <w:name w:val="ListLabel 2"/>
    <w:rPr>
      <w:color w:val="00000A"/>
    </w:rPr>
  </w:style>
  <w:style w:type="character" w:styleId="ListLabel3">
    <w:name w:val="ListLabel 3"/>
    <w:rPr>
      <w:rFonts w:cs="Times New Roman"/>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neNumbering">
    <w:name w:val="Line Numbering"/>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uiPriority w:val="99"/>
    <w:semiHidden/>
    <w:unhideWhenUsed/>
    <w:rsid w:val="00996f16"/>
    <w:pPr>
      <w:spacing w:lineRule="auto" w:line="288" w:before="0" w:after="120"/>
    </w:pPr>
    <w:rPr>
      <w:rFonts w:eastAsia="Calibri"/>
      <w:lang w:val="x-none" w:eastAsia="x-none"/>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Number">
    <w:name w:val="List Number"/>
    <w:basedOn w:val="Normal"/>
    <w:uiPriority w:val="99"/>
    <w:rsid w:val="00301532"/>
    <w:pPr>
      <w:ind w:left="480" w:hanging="240"/>
    </w:pPr>
    <w:rPr>
      <w14:ligatures w14:val="standard"/>
    </w:rPr>
  </w:style>
  <w:style w:type="paragraph" w:styleId="ListBullet">
    <w:name w:val="List Bullet"/>
    <w:basedOn w:val="Normal"/>
    <w:autoRedefine/>
    <w:uiPriority w:val="99"/>
    <w:rsid w:val="00735647"/>
    <w:pPr>
      <w:widowControl/>
      <w:tabs>
        <w:tab w:val="left" w:pos="720" w:leader="none"/>
        <w:tab w:val="center" w:pos="4800" w:leader="none"/>
        <w:tab w:val="right" w:pos="9360" w:leader="none"/>
      </w:tabs>
      <w:suppressAutoHyphens w:val="true"/>
      <w:ind w:left="720" w:firstLine="240"/>
      <w:jc w:val="left"/>
    </w:pPr>
    <w:rPr>
      <w14:ligatures w14:val="standard"/>
    </w:rPr>
  </w:style>
  <w:style w:type="paragraph" w:styleId="Footnotetext">
    <w:name w:val="footnote text"/>
    <w:basedOn w:val="Normal"/>
    <w:link w:val="FootnoteTextChar"/>
    <w:uiPriority w:val="99"/>
    <w:rsid w:val="00f910f0"/>
    <w:pPr>
      <w:spacing w:lineRule="auto" w:line="240"/>
    </w:pPr>
    <w:rPr>
      <w:lang w:val="x-none" w:eastAsia="x-none"/>
    </w:rPr>
  </w:style>
  <w:style w:type="paragraph" w:styleId="Endnotetext">
    <w:name w:val="endnote text"/>
    <w:basedOn w:val="Normal"/>
    <w:link w:val="EndnoteTextChar"/>
    <w:uiPriority w:val="99"/>
    <w:semiHidden/>
    <w:unhideWhenUsed/>
    <w:rsid w:val="00f910f0"/>
    <w:pPr>
      <w:spacing w:lineRule="auto" w:line="240"/>
    </w:pPr>
    <w:rPr>
      <w:lang w:val="x-none" w:eastAsia="x-none"/>
    </w:rPr>
  </w:style>
  <w:style w:type="paragraph" w:styleId="Header">
    <w:name w:val="Header"/>
    <w:basedOn w:val="Normal"/>
    <w:link w:val="HeaderChar"/>
    <w:uiPriority w:val="99"/>
    <w:rsid w:val="001a04dd"/>
    <w:pPr>
      <w:spacing w:lineRule="auto" w:line="240"/>
    </w:pPr>
    <w:rPr>
      <w:lang w:val="x-none" w:eastAsia="x-none"/>
      <w14:ligatures w14:val="standard"/>
    </w:rPr>
  </w:style>
  <w:style w:type="paragraph" w:styleId="Footer">
    <w:name w:val="Footer"/>
    <w:basedOn w:val="Normal"/>
    <w:link w:val="FooterChar"/>
    <w:uiPriority w:val="99"/>
    <w:rsid w:val="001a04dd"/>
    <w:pPr>
      <w:spacing w:lineRule="atLeast" w:line="200" w:before="60" w:after="0"/>
      <w:ind w:hanging="0"/>
    </w:pPr>
    <w:rPr>
      <w:sz w:val="16"/>
      <w:lang w:val="x-none" w:eastAsia="x-none"/>
      <w14:ligatures w14:val="standard"/>
    </w:rPr>
  </w:style>
  <w:style w:type="paragraph" w:styleId="Title">
    <w:name w:val="Title"/>
    <w:basedOn w:val="Heading1"/>
    <w:link w:val="TitleChar"/>
    <w:qFormat/>
    <w:rsid w:val="00f910f0"/>
    <w:pPr>
      <w:spacing w:before="0" w:after="240"/>
      <w:jc w:val="center"/>
    </w:pPr>
    <w:rPr>
      <w:b w:val="false"/>
      <w:sz w:val="36"/>
    </w:rPr>
  </w:style>
  <w:style w:type="paragraph" w:styleId="Contents3">
    <w:name w:val="Contents 3"/>
    <w:basedOn w:val="Normal"/>
    <w:next w:val="Normal"/>
    <w:autoRedefine/>
    <w:uiPriority w:val="39"/>
    <w:semiHidden/>
    <w:unhideWhenUsed/>
    <w:qFormat/>
    <w:rsid w:val="00627a0b"/>
    <w:pPr>
      <w:spacing w:before="0" w:after="100"/>
      <w:ind w:left="440" w:firstLine="240"/>
    </w:pPr>
    <w:rPr>
      <w:rFonts w:ascii="Calibri" w:hAnsi="Calibri" w:eastAsia="SimSun"/>
    </w:rPr>
  </w:style>
  <w:style w:type="paragraph" w:styleId="Annotationtext">
    <w:name w:val="annotation text"/>
    <w:basedOn w:val="Normal"/>
    <w:link w:val="CommentTextChar"/>
    <w:semiHidden/>
    <w:locked/>
    <w:rsid w:val="00017834"/>
    <w:pPr>
      <w:ind w:firstLine="360"/>
    </w:pPr>
    <w:rPr>
      <w:lang w:val="x-none" w:eastAsia="x-none"/>
    </w:rPr>
  </w:style>
  <w:style w:type="paragraph" w:styleId="Abstract" w:customStyle="1">
    <w:name w:val="Abstract"/>
    <w:basedOn w:val="Normal"/>
    <w:rsid w:val="00735647"/>
    <w:pPr>
      <w:ind w:hanging="0"/>
    </w:pPr>
    <w:rPr>
      <w:rFonts w:ascii="Times New Roman Italic" w:hAnsi="Times New Roman Italic"/>
      <w:bCs/>
      <w:i/>
    </w:rPr>
  </w:style>
  <w:style w:type="paragraph" w:styleId="Affiliation" w:customStyle="1">
    <w:name w:val="Affiliation"/>
    <w:next w:val="Normal"/>
    <w:rsid w:val="00765746"/>
    <w:pPr>
      <w:widowControl w:val="false"/>
      <w:suppressAutoHyphens w:val="true"/>
      <w:bidi w:val="0"/>
      <w:jc w:val="left"/>
    </w:pPr>
    <w:rPr>
      <w:rFonts w:ascii="Calibri" w:hAnsi="Calibri" w:eastAsia="Calibri" w:cs="Times New Roman"/>
      <w:color w:val="00000A"/>
      <w:sz w:val="20"/>
      <w:szCs w:val="20"/>
      <w:lang w:val="en-US" w:eastAsia="en-US" w:bidi="ar-SA"/>
    </w:rPr>
  </w:style>
  <w:style w:type="paragraph" w:styleId="Authors" w:customStyle="1">
    <w:name w:val="Authors"/>
    <w:basedOn w:val="Title"/>
    <w:next w:val="Affiliation"/>
    <w:rsid w:val="00765746"/>
    <w:pPr>
      <w:spacing w:before="240" w:after="120"/>
    </w:pPr>
    <w:rPr>
      <w:b/>
      <w:caps w:val="false"/>
      <w:smallCaps w:val="false"/>
      <w:sz w:val="24"/>
    </w:rPr>
  </w:style>
  <w:style w:type="paragraph" w:styleId="Appendix" w:customStyle="1">
    <w:name w:val="Appendix"/>
    <w:basedOn w:val="Heading1"/>
    <w:next w:val="Normal"/>
    <w:rsid w:val="00f910f0"/>
    <w:pPr/>
    <w:rPr/>
  </w:style>
  <w:style w:type="paragraph" w:styleId="Annotationsubject">
    <w:name w:val="annotation subject"/>
    <w:basedOn w:val="Annotationtext"/>
    <w:link w:val="CommentSubjectChar"/>
    <w:semiHidden/>
    <w:rsid w:val="00017834"/>
    <w:pPr/>
    <w:rPr>
      <w:b/>
      <w:bCs/>
    </w:rPr>
  </w:style>
  <w:style w:type="paragraph" w:styleId="DocumentMap">
    <w:name w:val="Document Map"/>
    <w:basedOn w:val="Normal"/>
    <w:link w:val="DocumentMapChar"/>
    <w:semiHidden/>
    <w:rsid w:val="00017834"/>
    <w:pPr>
      <w:ind w:firstLine="360"/>
    </w:pPr>
    <w:rPr>
      <w:rFonts w:ascii="Tahoma" w:hAnsi="Tahoma"/>
      <w:sz w:val="16"/>
      <w:szCs w:val="16"/>
      <w:lang w:val="x-none" w:eastAsia="x-none"/>
    </w:rPr>
  </w:style>
  <w:style w:type="paragraph" w:styleId="Figure" w:customStyle="1">
    <w:name w:val="Figure"/>
    <w:basedOn w:val="Normal"/>
    <w:rsid w:val="001a04dd"/>
    <w:pPr>
      <w:keepNext/>
      <w:keepLines/>
      <w:spacing w:lineRule="auto" w:line="240"/>
      <w:ind w:hanging="0"/>
      <w:jc w:val="center"/>
    </w:pPr>
    <w:rPr>
      <w:rFonts w:ascii="Times New Roman Bold" w:hAnsi="Times New Roman Bold"/>
      <w:b/>
      <w:sz w:val="16"/>
      <w14:ligatures w14:val="standard"/>
    </w:rPr>
  </w:style>
  <w:style w:type="paragraph" w:styleId="FigureCaption" w:customStyle="1">
    <w:name w:val="Figure Caption"/>
    <w:basedOn w:val="Normal"/>
    <w:next w:val="Normal"/>
    <w:rsid w:val="00457a5c"/>
    <w:pPr>
      <w:keepLines/>
      <w:spacing w:lineRule="atLeast" w:line="180" w:before="120" w:after="0"/>
      <w:ind w:hanging="0"/>
      <w:jc w:val="center"/>
    </w:pPr>
    <w:rPr>
      <w:rFonts w:ascii="Times New Roman Bold" w:hAnsi="Times New Roman Bold"/>
      <w:bCs/>
      <w:sz w:val="16"/>
      <w14:ligatures w14:val="standard"/>
    </w:rPr>
  </w:style>
  <w:style w:type="paragraph" w:styleId="Authors1" w:customStyle="1">
    <w:name w:val="Author(s)"/>
    <w:basedOn w:val="Title"/>
    <w:next w:val="Normal"/>
    <w:uiPriority w:val="99"/>
    <w:rsid w:val="003f2fc3"/>
    <w:pPr>
      <w:spacing w:before="240" w:after="600"/>
    </w:pPr>
    <w:rPr>
      <w:caps w:val="false"/>
      <w:smallCaps w:val="false"/>
      <w:sz w:val="22"/>
      <w:szCs w:val="22"/>
    </w:rPr>
  </w:style>
  <w:style w:type="paragraph" w:styleId="Footnote" w:customStyle="1">
    <w:name w:val="Footnote"/>
    <w:basedOn w:val="Normal"/>
    <w:uiPriority w:val="99"/>
    <w:rsid w:val="00735647"/>
    <w:pPr>
      <w:keepNext/>
      <w:widowControl/>
      <w:suppressAutoHyphens w:val="true"/>
      <w:spacing w:before="0" w:after="120"/>
      <w:outlineLvl w:val="0"/>
    </w:pPr>
    <w:rPr>
      <w:sz w:val="16"/>
      <w:szCs w:val="16"/>
      <w:lang w:val="x-none" w:eastAsia="x-none"/>
      <w14:ligatures w14:val="standard"/>
    </w:rPr>
  </w:style>
  <w:style w:type="paragraph" w:styleId="Keywords" w:customStyle="1">
    <w:name w:val="Keywords"/>
    <w:basedOn w:val="Abstract"/>
    <w:rsid w:val="00301532"/>
    <w:pPr>
      <w:spacing w:before="60" w:after="560"/>
    </w:pPr>
    <w:rPr>
      <w:bCs w:val="false"/>
    </w:rPr>
  </w:style>
  <w:style w:type="paragraph" w:styleId="ListCustom" w:customStyle="1">
    <w:name w:val="List Custom"/>
    <w:basedOn w:val="Normal"/>
    <w:rsid w:val="00f910f0"/>
    <w:pPr>
      <w:ind w:left="480" w:hanging="240"/>
    </w:pPr>
    <w:rPr/>
  </w:style>
  <w:style w:type="paragraph" w:styleId="PubInfo" w:customStyle="1">
    <w:name w:val="PubInfo"/>
    <w:basedOn w:val="Affiliation"/>
    <w:next w:val="Title"/>
    <w:uiPriority w:val="99"/>
    <w:rsid w:val="00f910f0"/>
    <w:pPr/>
    <w:rPr/>
  </w:style>
  <w:style w:type="paragraph" w:styleId="RefTitle" w:customStyle="1">
    <w:name w:val="Ref Title"/>
    <w:basedOn w:val="Heading1"/>
    <w:next w:val="Normal"/>
    <w:rsid w:val="00f910f0"/>
    <w:pPr/>
    <w:rPr/>
  </w:style>
  <w:style w:type="paragraph" w:styleId="TableCaption" w:customStyle="1">
    <w:name w:val="Table Caption"/>
    <w:basedOn w:val="Normal"/>
    <w:rsid w:val="00457a5c"/>
    <w:pPr>
      <w:keepNext/>
      <w:suppressAutoHyphens w:val="true"/>
      <w:spacing w:lineRule="atLeast" w:line="180"/>
      <w:ind w:hanging="0"/>
      <w:jc w:val="center"/>
    </w:pPr>
    <w:rPr>
      <w:rFonts w:ascii="Times New Roman Bold" w:hAnsi="Times New Roman Bold"/>
      <w:bCs/>
      <w:sz w:val="16"/>
      <w14:ligatures w14:val="standard"/>
    </w:rPr>
  </w:style>
  <w:style w:type="paragraph" w:styleId="Tablecontents" w:customStyle="1">
    <w:name w:val="Table contents"/>
    <w:basedOn w:val="Normal"/>
    <w:rsid w:val="00f952c7"/>
    <w:pPr>
      <w:tabs>
        <w:tab w:val="right" w:pos="192" w:leader="none"/>
      </w:tabs>
      <w:spacing w:lineRule="atLeast" w:line="180"/>
      <w:ind w:hanging="0"/>
      <w:jc w:val="center"/>
    </w:pPr>
    <w:rPr>
      <w:sz w:val="16"/>
      <w14:ligatures w14:val="standard"/>
    </w:rPr>
  </w:style>
  <w:style w:type="paragraph" w:styleId="AppendixBody" w:customStyle="1">
    <w:name w:val="Appendix Body"/>
    <w:basedOn w:val="Normal"/>
    <w:rsid w:val="00735647"/>
    <w:pPr/>
    <w:rPr/>
  </w:style>
  <w:style w:type="paragraph" w:styleId="Abstract2ndpara" w:customStyle="1">
    <w:name w:val="Abstract 2nd para"/>
    <w:basedOn w:val="Abstract"/>
    <w:uiPriority w:val="99"/>
    <w:qFormat/>
    <w:rsid w:val="00f910f0"/>
    <w:pPr>
      <w:ind w:firstLine="240"/>
    </w:pPr>
    <w:rPr/>
  </w:style>
  <w:style w:type="paragraph" w:styleId="Equation" w:customStyle="1">
    <w:name w:val="Equation"/>
    <w:basedOn w:val="Normal"/>
    <w:next w:val="Normal"/>
    <w:uiPriority w:val="99"/>
    <w:rsid w:val="00b03167"/>
    <w:pPr>
      <w:spacing w:before="120" w:after="120"/>
      <w:ind w:hanging="0"/>
    </w:pPr>
    <w:rPr>
      <w14:ligatures w14:val="standard"/>
    </w:rPr>
  </w:style>
  <w:style w:type="paragraph" w:styleId="Normalnoindent" w:customStyle="1">
    <w:name w:val="Normal no indent"/>
    <w:basedOn w:val="Normal"/>
    <w:next w:val="Normal"/>
    <w:uiPriority w:val="99"/>
    <w:rsid w:val="00f910f0"/>
    <w:pPr>
      <w:ind w:hanging="0"/>
    </w:pPr>
    <w:rPr/>
  </w:style>
  <w:style w:type="paragraph" w:styleId="RefListing" w:customStyle="1">
    <w:name w:val="Ref Listing"/>
    <w:basedOn w:val="Normal"/>
    <w:qFormat/>
    <w:rsid w:val="006a407b"/>
    <w:pPr>
      <w:suppressAutoHyphens w:val="true"/>
      <w:ind w:left="240" w:hanging="240"/>
      <w:jc w:val="left"/>
    </w:pPr>
    <w:rPr>
      <w:spacing w:val="-2"/>
      <w:sz w:val="18"/>
      <w:szCs w:val="18"/>
    </w:rPr>
  </w:style>
  <w:style w:type="paragraph" w:styleId="Envelopeaddress">
    <w:name w:val="envelope address"/>
    <w:basedOn w:val="Normal"/>
    <w:uiPriority w:val="99"/>
    <w:semiHidden/>
    <w:unhideWhenUsed/>
    <w:rsid w:val="00235f56"/>
    <w:pPr>
      <w:ind w:left="2880" w:firstLine="240"/>
    </w:pPr>
    <w:rPr>
      <w:rFonts w:ascii="Cambria" w:hAnsi="Cambria"/>
      <w:sz w:val="24"/>
      <w:szCs w:val="24"/>
    </w:rPr>
  </w:style>
  <w:style w:type="paragraph" w:styleId="BalloonText">
    <w:name w:val="Balloon Text"/>
    <w:basedOn w:val="Normal"/>
    <w:link w:val="BalloonTextChar"/>
    <w:uiPriority w:val="99"/>
    <w:semiHidden/>
    <w:unhideWhenUsed/>
    <w:rsid w:val="008650dc"/>
    <w:pPr>
      <w:spacing w:lineRule="auto" w:line="240"/>
    </w:pPr>
    <w:rPr>
      <w:rFonts w:ascii="Tahoma" w:hAnsi="Tahoma" w:cs="Tahoma"/>
      <w:sz w:val="16"/>
      <w:szCs w:val="16"/>
    </w:rPr>
  </w:style>
  <w:style w:type="paragraph" w:styleId="TableContents1">
    <w:name w:val="Table Contents"/>
    <w:basedOn w:val="Normal"/>
    <w:pPr/>
    <w:rPr/>
  </w:style>
  <w:style w:type="paragraph" w:styleId="TableHeading">
    <w:name w:val="Table Heading"/>
    <w:basedOn w:val="TableContents1"/>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99"/>
    <w:rsid w:val="00f910f0"/>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Table3Deffects1">
    <w:name w:val="Table 3D effects 1"/>
    <w:basedOn w:val="TableNormal"/>
    <w:uiPriority w:val="99"/>
    <w:rsid w:val="00f910f0"/>
    <w:pPr>
      <w:spacing w:lineRule="atLeast" w:line="240"/>
      <w:jc w:val="both"/>
    </w:p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type="table" w:styleId="Table3Deffects3">
    <w:name w:val="Table 3D effects 3"/>
    <w:basedOn w:val="TableNormal"/>
    <w:uiPriority w:val="99"/>
    <w:rsid w:val="00f910f0"/>
    <w:pPr>
      <w:spacing w:lineRule="atLeast" w:line="240"/>
      <w:jc w:val="both"/>
    </w:pPr>
    <w:tblPr>
      <w:tblStyleRowBandSize w:val="1"/>
      <w:tblStyleColBandSize w:val="1"/>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sabe.org/media/59251/asabe_guide_for_authors.pdf" TargetMode="External"/><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x4w:xml xmlns:x4w="http://www.i4i.com/ns/x4w/ccxml">
  <ccs/>
</x4w:xml>
</file>

<file path=customXml/itemProps1.xml><?xml version="1.0" encoding="utf-8"?>
<ds:datastoreItem xmlns:ds="http://schemas.openxmlformats.org/officeDocument/2006/customXml" ds:itemID="{6EC51AE5-8F2C-43AC-A764-B23C604FE802}">
  <ds:schemaRefs>
    <ds:schemaRef ds:uri="http://schemas.openxmlformats.org/officeDocument/2006/bibliography"/>
  </ds:schemaRefs>
</ds:datastoreItem>
</file>

<file path=customXml/itemProps2.xml><?xml version="1.0" encoding="utf-8"?>
<ds:datastoreItem xmlns:ds="http://schemas.openxmlformats.org/officeDocument/2006/customXml" ds:itemID="{28369EE9-8D81-42B6-B4E7-9B2A67AE66D8}">
  <ds:schemaRefs>
    <ds:schemaRef ds:uri="http://www.i4i.com/ns/x4w/ccxml"/>
  </ds:schemaRefs>
</ds:datastoreItem>
</file>

<file path=docProps/app.xml><?xml version="1.0" encoding="utf-8"?>
<Properties xmlns="http://schemas.openxmlformats.org/officeDocument/2006/extended-properties" xmlns:vt="http://schemas.openxmlformats.org/officeDocument/2006/docPropsVTypes">
  <Template>Normal.dotm</Template>
  <TotalTime>3802</TotalTime>
  <Application>LibreOffice/4.3.3.2$Linux_x86 LibreOffice_project/430m0$Build-2</Application>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2014-03-20T15:42:00Z</dcterms:created>
  <dc:creator>ASABE Staff Editor</dc:creator>
  <dc:language>en-US</dc:language>
  <dcterms:modified xsi:type="dcterms:W3CDTF">2016-01-07T12:57:42Z</dcterms:modified>
  <cp:revision>72</cp:revision>
  <dc:title>Author(s)</dc:title>
</cp:coreProperties>
</file>