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9EED" w14:textId="77777777" w:rsidR="007A5B76" w:rsidRPr="007A5B76" w:rsidRDefault="007A5B76" w:rsidP="007A5B76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B76">
        <w:rPr>
          <w:rFonts w:ascii="Times New Roman" w:hAnsi="Times New Roman" w:cs="Times New Roman"/>
          <w:b/>
          <w:bCs/>
          <w:i/>
          <w:iCs/>
          <w:sz w:val="32"/>
          <w:szCs w:val="32"/>
        </w:rPr>
        <w:t>Leptodirus hochenwartii</w:t>
      </w:r>
      <w:r w:rsidRPr="007A5B76">
        <w:rPr>
          <w:rFonts w:ascii="Times New Roman" w:hAnsi="Times New Roman" w:cs="Times New Roman"/>
          <w:b/>
          <w:bCs/>
          <w:sz w:val="32"/>
          <w:szCs w:val="32"/>
        </w:rPr>
        <w:t xml:space="preserve"> Genome Assembly</w:t>
      </w:r>
    </w:p>
    <w:p w14:paraId="30EADEA3" w14:textId="7CD24A4D" w:rsidR="00ED37D8" w:rsidRDefault="007A5B76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</w:t>
      </w:r>
      <w:r w:rsidRPr="007A5B76">
        <w:rPr>
          <w:rFonts w:ascii="Times New Roman" w:hAnsi="Times New Roman" w:cs="Times New Roman"/>
          <w:sz w:val="24"/>
          <w:szCs w:val="24"/>
        </w:rPr>
        <w:t>All the figures were generated using ‘assembly_plots.py’</w:t>
      </w:r>
    </w:p>
    <w:p w14:paraId="63C46976" w14:textId="40A65858" w:rsidR="007A5B76" w:rsidRDefault="00AF6B47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A5B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4F44EA" wp14:editId="76B136D8">
                <wp:simplePos x="0" y="0"/>
                <wp:positionH relativeFrom="margin">
                  <wp:posOffset>738505</wp:posOffset>
                </wp:positionH>
                <wp:positionV relativeFrom="paragraph">
                  <wp:posOffset>4271433</wp:posOffset>
                </wp:positionV>
                <wp:extent cx="4290060" cy="85344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2C4BD" w14:textId="78DC1801" w:rsidR="007A5B76" w:rsidRDefault="007A5B76" w:rsidP="00114A4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Figure 1: Primary Assembly (</w:t>
                            </w:r>
                            <w:r w:rsidRPr="007A5B7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Leptodirus hochenwartii</w:t>
                            </w:r>
                            <w:r w:rsidRPr="007A5B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 w:rsidR="00114A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Panel A shows length distribution, Panel B shows Nx curve, Panel C shows GC content distribution, and Panel D compares the length to GC.</w:t>
                            </w:r>
                          </w:p>
                          <w:p w14:paraId="5C76E614" w14:textId="22C10CE8" w:rsidR="007A5B76" w:rsidRDefault="007A5B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F44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15pt;margin-top:336.35pt;width:337.8pt;height:6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">
                <v:textbox>
                  <w:txbxContent>
                    <w:p w14:paraId="2E92C4BD" w14:textId="78DC1801" w:rsidR="007A5B76" w:rsidRDefault="007A5B76" w:rsidP="00114A4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Figure 1: Primary Assembly (</w:t>
                      </w:r>
                      <w:r w:rsidRPr="007A5B7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Leptodirus hochenwartii</w:t>
                      </w:r>
                      <w:r w:rsidRPr="007A5B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 w:rsidR="00114A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Panel A shows length distribution, Panel B shows Nx curve, Panel C shows GC content distribution, and Panel D compares the length to GC.</w:t>
                      </w:r>
                    </w:p>
                    <w:p w14:paraId="5C76E614" w14:textId="22C10CE8" w:rsidR="007A5B76" w:rsidRDefault="007A5B76"/>
                  </w:txbxContent>
                </v:textbox>
                <w10:wrap type="square" anchorx="margin"/>
              </v:shape>
            </w:pict>
          </mc:Fallback>
        </mc:AlternateContent>
      </w:r>
      <w:r w:rsidR="007A5B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A8B354" wp14:editId="6E73C1D9">
            <wp:extent cx="5731510" cy="4093845"/>
            <wp:effectExtent l="0" t="0" r="2540" b="1905"/>
            <wp:docPr id="985931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1858" name="Picture 9859318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B6A2" w14:textId="603732D7" w:rsidR="007A5B76" w:rsidRDefault="007A5B76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55B40C" w14:textId="35DB305C" w:rsidR="007A5B76" w:rsidRDefault="007A5B76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A1FD8A9" w14:textId="77777777" w:rsidR="00AF6B47" w:rsidRDefault="00AF6B47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08A22FF" w14:textId="3A54B05A" w:rsidR="00114A4E" w:rsidRDefault="00114A4E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Length Distribution (log scale) – We can see the sequences distributed across the different lengths, with majority of the counts sitting below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bp, while a small amount is spread across the longer lengths.</w:t>
      </w:r>
    </w:p>
    <w:p w14:paraId="58934F55" w14:textId="77777777" w:rsidR="00BD4891" w:rsidRDefault="00114A4E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Nx Curve – There is a gradual rise in the sequence ranks with an increase in length which then plateaus when it reaches a 100%. The rise confirms the chromosome</w:t>
      </w:r>
      <w:r w:rsidR="00BD4891">
        <w:rPr>
          <w:rFonts w:ascii="Times New Roman" w:hAnsi="Times New Roman" w:cs="Times New Roman"/>
          <w:sz w:val="24"/>
          <w:szCs w:val="24"/>
        </w:rPr>
        <w:t xml:space="preserve"> level contiguity.</w:t>
      </w:r>
    </w:p>
    <w:p w14:paraId="6710D078" w14:textId="2422FECF" w:rsidR="00BD4891" w:rsidRDefault="00BD4891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GC Content Distribution</w:t>
      </w:r>
      <w:r w:rsidR="00D37683">
        <w:rPr>
          <w:rFonts w:ascii="Times New Roman" w:hAnsi="Times New Roman" w:cs="Times New Roman"/>
          <w:sz w:val="24"/>
          <w:szCs w:val="24"/>
        </w:rPr>
        <w:t xml:space="preserve"> – A dominant peak at 32% GC content is observed while there were significant drops in the count at 33% and 34%. Clusters of small peaks can be seen spread throughout the graph. The dominant peak is consistent with the expected ~32% GC content. However, the other smaller clusters could be considered as discrepancies.</w:t>
      </w:r>
    </w:p>
    <w:p w14:paraId="333A6C44" w14:textId="1693C2CB" w:rsidR="00D37683" w:rsidRPr="00590F93" w:rsidRDefault="00D37683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Length vs GC Scatter </w:t>
      </w:r>
      <w:r w:rsidR="00590F9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0F93">
        <w:rPr>
          <w:rFonts w:ascii="Times New Roman" w:hAnsi="Times New Roman" w:cs="Times New Roman"/>
          <w:sz w:val="24"/>
          <w:szCs w:val="24"/>
        </w:rPr>
        <w:t>A large cluster can be seen along the 32% GC content with lengths between 10</w:t>
      </w:r>
      <w:r w:rsidR="00590F93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590F93">
        <w:rPr>
          <w:rFonts w:ascii="Times New Roman" w:hAnsi="Times New Roman" w:cs="Times New Roman"/>
          <w:sz w:val="24"/>
          <w:szCs w:val="24"/>
        </w:rPr>
        <w:t xml:space="preserve"> to 10</w:t>
      </w:r>
      <w:r w:rsidR="00590F93">
        <w:rPr>
          <w:rFonts w:ascii="Times New Roman" w:hAnsi="Times New Roman" w:cs="Times New Roman"/>
          <w:sz w:val="24"/>
          <w:szCs w:val="24"/>
          <w:vertAlign w:val="superscript"/>
        </w:rPr>
        <w:t xml:space="preserve">5 </w:t>
      </w:r>
      <w:r w:rsidR="00590F93">
        <w:rPr>
          <w:rFonts w:ascii="Times New Roman" w:hAnsi="Times New Roman" w:cs="Times New Roman"/>
          <w:sz w:val="24"/>
          <w:szCs w:val="24"/>
        </w:rPr>
        <w:t>bp. Other points can also be seen spread across the entire graph.</w:t>
      </w:r>
      <w:r w:rsidR="00AF6B47">
        <w:rPr>
          <w:rFonts w:ascii="Times New Roman" w:hAnsi="Times New Roman" w:cs="Times New Roman"/>
          <w:sz w:val="24"/>
          <w:szCs w:val="24"/>
        </w:rPr>
        <w:t xml:space="preserve"> Such a mixed result can be due to the dominant organism having a small set of sequences with a divergent base composition.</w:t>
      </w:r>
    </w:p>
    <w:p w14:paraId="2AA432AB" w14:textId="3E4A4030" w:rsidR="00AF6B47" w:rsidRDefault="00114A4E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CD771" w14:textId="6B33D06C" w:rsidR="00AF6B47" w:rsidRDefault="007A5B76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F99A66" wp14:editId="11E824E4">
            <wp:extent cx="5731510" cy="4093845"/>
            <wp:effectExtent l="0" t="0" r="2540" b="1905"/>
            <wp:docPr id="19601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32724" name="Picture 19601327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81E7" w14:textId="78388756" w:rsidR="00AF6B47" w:rsidRDefault="00AF6B47" w:rsidP="007A5B7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A5B7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222718" wp14:editId="27EC92AE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4290060" cy="853440"/>
                <wp:effectExtent l="0" t="0" r="15240" b="22860"/>
                <wp:wrapSquare wrapText="bothSides"/>
                <wp:docPr id="11112615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4981A" w14:textId="1E778FB7" w:rsidR="00AF6B47" w:rsidRDefault="00AF6B47" w:rsidP="00AF6B4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Alternate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Assembly (</w:t>
                            </w:r>
                            <w:r w:rsidRPr="007A5B76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Leptodirus hochenwartii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Alternate Haplotype</w:t>
                            </w:r>
                            <w:r w:rsidRPr="007A5B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 Panel A shows length distribution, Panel B shows Nx curve, Panel C shows GC content distribution, and Panel D compares the length to GC.</w:t>
                            </w:r>
                          </w:p>
                          <w:p w14:paraId="64EBD723" w14:textId="77777777" w:rsidR="00AF6B47" w:rsidRDefault="00AF6B47" w:rsidP="00AF6B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22718" id="_x0000_s1027" type="#_x0000_t202" style="position:absolute;margin-left:0;margin-top:.55pt;width:337.8pt;height:67.2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">
                <v:textbox>
                  <w:txbxContent>
                    <w:p w14:paraId="2624981A" w14:textId="1E778FB7" w:rsidR="00AF6B47" w:rsidRDefault="00AF6B47" w:rsidP="00AF6B47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Alternate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Assembly (</w:t>
                      </w:r>
                      <w:r w:rsidRPr="007A5B76"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4"/>
                        </w:rPr>
                        <w:t>Leptodirus hochenwartii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Alternate Haplotype</w:t>
                      </w:r>
                      <w:r w:rsidRPr="007A5B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 Panel A shows length distribution, Panel B shows Nx curve, Panel C shows GC content distribution, and Panel D compares the length to GC.</w:t>
                      </w:r>
                    </w:p>
                    <w:p w14:paraId="64EBD723" w14:textId="77777777" w:rsidR="00AF6B47" w:rsidRDefault="00AF6B47" w:rsidP="00AF6B47"/>
                  </w:txbxContent>
                </v:textbox>
                <w10:wrap type="square" anchorx="margin"/>
              </v:shape>
            </w:pict>
          </mc:Fallback>
        </mc:AlternateContent>
      </w:r>
    </w:p>
    <w:p w14:paraId="2F42F1F3" w14:textId="77777777" w:rsidR="00AF6B47" w:rsidRPr="00AF6B47" w:rsidRDefault="00AF6B47" w:rsidP="00AF6B47">
      <w:pPr>
        <w:rPr>
          <w:rFonts w:ascii="Times New Roman" w:hAnsi="Times New Roman" w:cs="Times New Roman"/>
          <w:sz w:val="24"/>
          <w:szCs w:val="24"/>
        </w:rPr>
      </w:pPr>
    </w:p>
    <w:p w14:paraId="20D0917D" w14:textId="77777777" w:rsidR="00AF6B47" w:rsidRPr="00AF6B47" w:rsidRDefault="00AF6B47" w:rsidP="00AF6B47">
      <w:pPr>
        <w:rPr>
          <w:rFonts w:ascii="Times New Roman" w:hAnsi="Times New Roman" w:cs="Times New Roman"/>
          <w:sz w:val="24"/>
          <w:szCs w:val="24"/>
        </w:rPr>
      </w:pPr>
    </w:p>
    <w:p w14:paraId="10CA81F7" w14:textId="77777777" w:rsidR="00AF6B47" w:rsidRDefault="00AF6B47" w:rsidP="00AF6B47">
      <w:pPr>
        <w:rPr>
          <w:rFonts w:ascii="Times New Roman" w:hAnsi="Times New Roman" w:cs="Times New Roman"/>
          <w:sz w:val="24"/>
          <w:szCs w:val="24"/>
        </w:rPr>
      </w:pPr>
    </w:p>
    <w:p w14:paraId="45B4E23B" w14:textId="77777777" w:rsidR="00E0026C" w:rsidRDefault="00AF6B47" w:rsidP="00E0026C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Length Distribution (log scale) </w:t>
      </w:r>
      <w:r w:rsidR="00E0026C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026C">
        <w:rPr>
          <w:rFonts w:ascii="Times New Roman" w:hAnsi="Times New Roman" w:cs="Times New Roman"/>
          <w:sz w:val="24"/>
          <w:szCs w:val="24"/>
        </w:rPr>
        <w:t>The sequence length of between 10</w:t>
      </w:r>
      <w:r w:rsidR="00E0026C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E0026C">
        <w:rPr>
          <w:rFonts w:ascii="Times New Roman" w:hAnsi="Times New Roman" w:cs="Times New Roman"/>
          <w:sz w:val="24"/>
          <w:szCs w:val="24"/>
        </w:rPr>
        <w:t xml:space="preserve"> to 10</w:t>
      </w:r>
      <w:r w:rsidR="00E0026C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="00E0026C">
        <w:rPr>
          <w:rFonts w:ascii="Times New Roman" w:hAnsi="Times New Roman" w:cs="Times New Roman"/>
          <w:sz w:val="24"/>
          <w:szCs w:val="24"/>
        </w:rPr>
        <w:t xml:space="preserve"> has a consistent count of 650 with a gradual decrease with longer lengths. This was expected as the alternate haplotype only contains heterozygous regions that could not collapse into the primary.</w:t>
      </w:r>
    </w:p>
    <w:p w14:paraId="4B3D15ED" w14:textId="18E5FB6E" w:rsidR="00AF6B47" w:rsidRDefault="00AF6B47" w:rsidP="00E0026C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026C">
        <w:rPr>
          <w:rFonts w:ascii="Times New Roman" w:hAnsi="Times New Roman" w:cs="Times New Roman"/>
          <w:sz w:val="24"/>
          <w:szCs w:val="24"/>
        </w:rPr>
        <w:t xml:space="preserve">Nx Curve – The graph shows a gradual rise with it plateauing at around 98% length. </w:t>
      </w:r>
    </w:p>
    <w:p w14:paraId="651A05CA" w14:textId="43746960" w:rsidR="00E0026C" w:rsidRDefault="00E0026C" w:rsidP="00E0026C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GC Distribution </w:t>
      </w:r>
      <w:r w:rsidR="00F309B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09B6">
        <w:rPr>
          <w:rFonts w:ascii="Times New Roman" w:hAnsi="Times New Roman" w:cs="Times New Roman"/>
          <w:sz w:val="24"/>
          <w:szCs w:val="24"/>
        </w:rPr>
        <w:t>Peak of around 450 counts can be seen at 32% GC count. This shows a stronger signal than in the primary.</w:t>
      </w:r>
    </w:p>
    <w:p w14:paraId="78EC4F51" w14:textId="77777777" w:rsidR="00F309B6" w:rsidRDefault="00F309B6" w:rsidP="00E0026C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Length vs GC Scatter – GC cluster is most dense at the 32% mark and it continues to decrease as the GC content increases. The other clusters could be a whole other population of sequences with completely different base composition.</w:t>
      </w:r>
    </w:p>
    <w:p w14:paraId="07896DE9" w14:textId="77777777" w:rsidR="00F309B6" w:rsidRDefault="00F309B6" w:rsidP="00E0026C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2B0C48" w14:textId="6350F4E8" w:rsidR="00F309B6" w:rsidRDefault="00F309B6" w:rsidP="00F309B6">
      <w:pPr>
        <w:tabs>
          <w:tab w:val="left" w:pos="3147"/>
        </w:tabs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09B6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83AB23B" w14:textId="58E2C7C2" w:rsidR="00F309B6" w:rsidRPr="00F309B6" w:rsidRDefault="00F309B6" w:rsidP="00F309B6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309B6">
        <w:rPr>
          <w:rFonts w:ascii="Times New Roman" w:hAnsi="Times New Roman" w:cs="Times New Roman"/>
          <w:sz w:val="24"/>
          <w:szCs w:val="24"/>
        </w:rPr>
        <w:t xml:space="preserve">The </w:t>
      </w:r>
      <w:r w:rsidRPr="00F309B6">
        <w:rPr>
          <w:rFonts w:ascii="Times New Roman" w:hAnsi="Times New Roman" w:cs="Times New Roman"/>
          <w:i/>
          <w:iCs/>
          <w:sz w:val="24"/>
          <w:szCs w:val="24"/>
        </w:rPr>
        <w:t>Leptodirus hochenwartii</w:t>
      </w:r>
      <w:r w:rsidRPr="00F309B6">
        <w:rPr>
          <w:rFonts w:ascii="Times New Roman" w:hAnsi="Times New Roman" w:cs="Times New Roman"/>
          <w:sz w:val="24"/>
          <w:szCs w:val="24"/>
        </w:rPr>
        <w:t xml:space="preserve"> primary assembly </w:t>
      </w:r>
      <w:r>
        <w:rPr>
          <w:rFonts w:ascii="Times New Roman" w:hAnsi="Times New Roman" w:cs="Times New Roman"/>
          <w:sz w:val="24"/>
          <w:szCs w:val="24"/>
        </w:rPr>
        <w:t>has</w:t>
      </w:r>
      <w:r w:rsidRPr="00F309B6">
        <w:rPr>
          <w:rFonts w:ascii="Times New Roman" w:hAnsi="Times New Roman" w:cs="Times New Roman"/>
          <w:sz w:val="24"/>
          <w:szCs w:val="24"/>
        </w:rPr>
        <w:t xml:space="preserve"> a high-quality, chromosome-level reference. The Nx curve, L50 = 6, and scaffold N50 of 37.27 Mb </w:t>
      </w:r>
      <w:r>
        <w:rPr>
          <w:rFonts w:ascii="Times New Roman" w:hAnsi="Times New Roman" w:cs="Times New Roman"/>
          <w:sz w:val="24"/>
          <w:szCs w:val="24"/>
        </w:rPr>
        <w:t>match the values</w:t>
      </w:r>
      <w:r w:rsidRPr="00F309B6">
        <w:rPr>
          <w:rFonts w:ascii="Times New Roman" w:hAnsi="Times New Roman" w:cs="Times New Roman"/>
          <w:sz w:val="24"/>
          <w:szCs w:val="24"/>
        </w:rPr>
        <w:t xml:space="preserve"> defined by the Earth Biogenome Project, and NCBI's reported metadata</w:t>
      </w:r>
      <w:r>
        <w:rPr>
          <w:rFonts w:ascii="Times New Roman" w:hAnsi="Times New Roman" w:cs="Times New Roman"/>
          <w:sz w:val="24"/>
          <w:szCs w:val="24"/>
        </w:rPr>
        <w:t>, which</w:t>
      </w:r>
      <w:r w:rsidRPr="00F309B6">
        <w:rPr>
          <w:rFonts w:ascii="Times New Roman" w:hAnsi="Times New Roman" w:cs="Times New Roman"/>
          <w:sz w:val="24"/>
          <w:szCs w:val="24"/>
        </w:rPr>
        <w:t xml:space="preserve"> confirms the integrity of </w:t>
      </w:r>
      <w:r>
        <w:rPr>
          <w:rFonts w:ascii="Times New Roman" w:hAnsi="Times New Roman" w:cs="Times New Roman"/>
          <w:sz w:val="24"/>
          <w:szCs w:val="24"/>
        </w:rPr>
        <w:t>files</w:t>
      </w:r>
      <w:r w:rsidRPr="00F309B6">
        <w:rPr>
          <w:rFonts w:ascii="Times New Roman" w:hAnsi="Times New Roman" w:cs="Times New Roman"/>
          <w:sz w:val="24"/>
          <w:szCs w:val="24"/>
        </w:rPr>
        <w:t>.</w:t>
      </w:r>
    </w:p>
    <w:p w14:paraId="1E37248D" w14:textId="365058C2" w:rsidR="00F309B6" w:rsidRPr="00F309B6" w:rsidRDefault="00F309B6" w:rsidP="00E0026C">
      <w:pPr>
        <w:tabs>
          <w:tab w:val="left" w:pos="3147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309B6">
        <w:rPr>
          <w:rFonts w:ascii="Times New Roman" w:hAnsi="Times New Roman" w:cs="Times New Roman"/>
          <w:sz w:val="24"/>
          <w:szCs w:val="24"/>
        </w:rPr>
        <w:t xml:space="preserve">The figures prove </w:t>
      </w:r>
      <w:r>
        <w:rPr>
          <w:rFonts w:ascii="Times New Roman" w:hAnsi="Times New Roman" w:cs="Times New Roman"/>
          <w:sz w:val="24"/>
          <w:szCs w:val="24"/>
        </w:rPr>
        <w:t xml:space="preserve">excellent </w:t>
      </w:r>
      <w:r w:rsidRPr="00F309B6">
        <w:rPr>
          <w:rFonts w:ascii="Times New Roman" w:hAnsi="Times New Roman" w:cs="Times New Roman"/>
          <w:sz w:val="24"/>
          <w:szCs w:val="24"/>
        </w:rPr>
        <w:t xml:space="preserve">contiguity and gross compositional structure. </w:t>
      </w:r>
      <w:r>
        <w:rPr>
          <w:rFonts w:ascii="Times New Roman" w:hAnsi="Times New Roman" w:cs="Times New Roman"/>
          <w:sz w:val="24"/>
          <w:szCs w:val="24"/>
        </w:rPr>
        <w:t>Although, t</w:t>
      </w:r>
      <w:r w:rsidRPr="00F309B6">
        <w:rPr>
          <w:rFonts w:ascii="Times New Roman" w:hAnsi="Times New Roman" w:cs="Times New Roman"/>
          <w:sz w:val="24"/>
          <w:szCs w:val="24"/>
        </w:rPr>
        <w:t xml:space="preserve">hey do not prove base accuracy, gene completeness, structural correctness, or absence of a minor contaminant population. The high-GC cluster </w:t>
      </w:r>
      <w:r w:rsidR="008C7FEC">
        <w:rPr>
          <w:rFonts w:ascii="Times New Roman" w:hAnsi="Times New Roman" w:cs="Times New Roman"/>
          <w:sz w:val="24"/>
          <w:szCs w:val="24"/>
        </w:rPr>
        <w:t>should be further analysed</w:t>
      </w:r>
      <w:r w:rsidRPr="00F309B6">
        <w:rPr>
          <w:rFonts w:ascii="Times New Roman" w:hAnsi="Times New Roman" w:cs="Times New Roman"/>
          <w:sz w:val="24"/>
          <w:szCs w:val="24"/>
        </w:rPr>
        <w:t xml:space="preserve"> and </w:t>
      </w:r>
      <w:r w:rsidR="008C7FEC">
        <w:rPr>
          <w:rFonts w:ascii="Times New Roman" w:hAnsi="Times New Roman" w:cs="Times New Roman"/>
          <w:sz w:val="24"/>
          <w:szCs w:val="24"/>
        </w:rPr>
        <w:t xml:space="preserve">compared with </w:t>
      </w:r>
      <w:r w:rsidRPr="00F309B6">
        <w:rPr>
          <w:rFonts w:ascii="Times New Roman" w:hAnsi="Times New Roman" w:cs="Times New Roman"/>
          <w:sz w:val="24"/>
          <w:szCs w:val="24"/>
        </w:rPr>
        <w:t xml:space="preserve">the published QV/BUSCO values </w:t>
      </w:r>
      <w:r w:rsidR="008C7FEC">
        <w:rPr>
          <w:rFonts w:ascii="Times New Roman" w:hAnsi="Times New Roman" w:cs="Times New Roman"/>
          <w:sz w:val="24"/>
          <w:szCs w:val="24"/>
        </w:rPr>
        <w:t xml:space="preserve">to </w:t>
      </w:r>
      <w:r w:rsidRPr="00F309B6">
        <w:rPr>
          <w:rFonts w:ascii="Times New Roman" w:hAnsi="Times New Roman" w:cs="Times New Roman"/>
          <w:sz w:val="24"/>
          <w:szCs w:val="24"/>
        </w:rPr>
        <w:t>provide complementary evidence</w:t>
      </w:r>
      <w:r w:rsidR="008C7FEC">
        <w:rPr>
          <w:rFonts w:ascii="Times New Roman" w:hAnsi="Times New Roman" w:cs="Times New Roman"/>
          <w:sz w:val="24"/>
          <w:szCs w:val="24"/>
        </w:rPr>
        <w:t>.</w:t>
      </w:r>
    </w:p>
    <w:sectPr w:rsidR="00F309B6" w:rsidRPr="00F3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0D"/>
    <w:rsid w:val="00114A4E"/>
    <w:rsid w:val="00227C5F"/>
    <w:rsid w:val="0030663A"/>
    <w:rsid w:val="00590F93"/>
    <w:rsid w:val="006466C9"/>
    <w:rsid w:val="006B6C0D"/>
    <w:rsid w:val="007A5B76"/>
    <w:rsid w:val="008C7FEC"/>
    <w:rsid w:val="009166E3"/>
    <w:rsid w:val="00AF6B47"/>
    <w:rsid w:val="00BD4891"/>
    <w:rsid w:val="00D37683"/>
    <w:rsid w:val="00E0026C"/>
    <w:rsid w:val="00ED37D8"/>
    <w:rsid w:val="00F3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DA71"/>
  <w15:chartTrackingRefBased/>
  <w15:docId w15:val="{76299B7E-06C1-4EB0-B260-BE9037AA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Trevanan Yuan</dc:creator>
  <cp:keywords/>
  <dc:description/>
  <cp:lastModifiedBy>Trevanan Yuan</cp:lastModifiedBy>
  <cp:revision>3</cp:revision>
  <dcterms:created xsi:type="dcterms:W3CDTF">2026-09-19T16:08:00Z</dcterms:created>
  <dcterms:modified xsi:type="dcterms:W3CDTF">2026-09-19T19:14:00Z</dcterms:modified>
</cp:coreProperties>
</file>