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c>
          <w:tcPr>
            <w:tcW w:type="dxa" w:w="9411"/>
            <w:shd w:val="clear" w:fill="101828"/>
            <w:tcBorders>
              <w:top w:val="single" w:sz="2" w:color="101828"/>
              <w:bottom w:val="single" w:sz="2" w:color="101828"/>
              <w:left w:val="single" w:sz="2" w:color="101828"/>
              <w:right w:val="single" w:sz="2" w:color="101828"/>
            </w:tcBorders>
          </w:tcPr>
          <w:p>
            <w:pPr>
              <w:spacing w:before="720"/>
            </w:pPr>
            <w:r>
              <w:rPr>
                <w:b/>
                <w:color w:val="BE185D"/>
                <w:sz w:val="26"/>
              </w:rPr>
              <w:t>HAWKEYE STERLING</w:t>
            </w:r>
          </w:p>
          <w:p>
            <w:pPr>
              <w:spacing w:before="200"/>
            </w:pPr>
            <w:r>
              <w:rPr>
                <w:b/>
                <w:color w:val="FFFFFF"/>
                <w:sz w:val="60"/>
              </w:rPr>
              <w:t>Artificial Intelligence in the</w:t>
              <w:br/>
              <w:t>Compliance Platform</w:t>
            </w:r>
          </w:p>
          <w:p>
            <w:pPr>
              <w:spacing w:before="120" w:after="560"/>
            </w:pPr>
            <w:r>
              <w:rPr>
                <w:color w:val="FFFFFF"/>
                <w:sz w:val="28"/>
              </w:rPr>
              <w:t>Business &amp; Technical Presentation Plan —</w:t>
              <w:br/>
              <w:t>AI as an Enabler of Compliance</w:t>
            </w:r>
          </w:p>
          <w:p>
            <w:pPr>
              <w:spacing w:after="600"/>
            </w:pPr>
            <w:r>
              <w:rPr>
                <w:color w:val="FFFFFF"/>
                <w:sz w:val="19"/>
              </w:rPr>
              <w:t>Evidence-based analysis of the trex0092/HAWKEYE-STERLING-RA repository (v3.7.2)</w:t>
              <w:br/>
              <w:t>Entity Risk Assessment platform for AML/CFT — Dealers in Precious Metals &amp; Stones (DPMS), UAE</w:t>
            </w:r>
          </w:p>
        </w:tc>
      </w:tr>
    </w:tbl>
    <w:p>
      <w:pPr>
        <w:spacing w:after="160"/>
      </w:pPr>
    </w:p>
    <w:p>
      <w:pPr>
        <w:spacing w:after="60"/>
      </w:pPr>
      <w:r>
        <w:rPr>
          <w:b/>
          <w:i w:val="0"/>
          <w:color w:val="BE185D"/>
          <w:sz w:val="18"/>
        </w:rPr>
        <w:t>PREPARED FOR</w:t>
      </w:r>
    </w:p>
    <w:p>
      <w:pPr>
        <w:spacing w:after="280"/>
      </w:pPr>
      <w:r>
        <w:rPr>
          <w:b w:val="0"/>
          <w:i w:val="0"/>
          <w:color w:val="101828"/>
          <w:sz w:val="21"/>
        </w:rPr>
        <w:t>Executive Management  ·  Compliance Officers  ·  Financial Crime Specialists  ·  Technology Leadership  ·  Prospective Clients  ·  Regulators</w:t>
      </w:r>
    </w:p>
    <w:p>
      <w:pPr>
        <w:spacing w:after="60"/>
      </w:pPr>
      <w:r>
        <w:rPr>
          <w:b/>
          <w:i w:val="0"/>
          <w:color w:val="BE185D"/>
          <w:sz w:val="18"/>
        </w:rPr>
        <w:t>DOCUMENT PURPOSE</w:t>
      </w:r>
    </w:p>
    <w:p>
      <w:pPr>
        <w:spacing w:after="280"/>
      </w:pPr>
      <w:r>
        <w:rPr>
          <w:b w:val="0"/>
          <w:i w:val="0"/>
          <w:color w:val="475467"/>
          <w:sz w:val="21"/>
        </w:rPr>
        <w:t>This document is a complete presentation plan demonstrating how Artificial Intelligence is incorporated into the Hawkeye Sterling compliance platform — not as another software feature, but as a governed enabler of compliance accuracy, efficiency, explainability, auditability and regulatory confidence. Every statement is grounded in evidence found in the repository; implemented capabilities are explicitly distinguished from future recommendations.</w:t>
      </w:r>
    </w:p>
    <w:tbl>
      <w:tblPr>
        <w:tblW w:type="auto" w:w="0"/>
        <w:jc w:val="center"/>
        <w:tblLayout w:type="fixed"/>
        <w:tblLook w:firstColumn="1" w:firstRow="1" w:lastColumn="0" w:lastRow="0" w:noHBand="0" w:noVBand="1" w:val="04A0"/>
      </w:tblPr>
      <w:tblGrid>
        <w:gridCol w:w="4706"/>
        <w:gridCol w:w="4706"/>
      </w:tblGrid>
      <w:tr>
        <w:tc>
          <w:tcPr>
            <w:tcW w:type="dxa" w:w="2381"/>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Document control</w:t>
            </w:r>
          </w:p>
        </w:tc>
        <w:tc>
          <w:tcPr>
            <w:tcW w:type="dxa" w:w="7030"/>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r>
          </w:p>
        </w:tc>
      </w:tr>
      <w:tr>
        <w:tc>
          <w:tcPr>
            <w:tcW w:type="dxa" w:w="2381"/>
            <w:tcBorders>
              <w:top w:val="single" w:sz="4" w:color="D0D5DD"/>
              <w:bottom w:val="single" w:sz="4" w:color="D0D5DD"/>
              <w:left w:val="single" w:sz="4" w:color="D0D5DD"/>
              <w:right w:val="single" w:sz="4" w:color="D0D5DD"/>
            </w:tcBorders>
          </w:tcPr>
          <w:p>
            <w:pPr>
              <w:spacing w:before="20" w:after="20"/>
            </w:pPr>
            <w:r>
              <w:rPr>
                <w:color w:val="475467"/>
                <w:sz w:val="19"/>
              </w:rPr>
              <w:t>Date</w:t>
            </w:r>
          </w:p>
        </w:tc>
        <w:tc>
          <w:tcPr>
            <w:tcW w:type="dxa" w:w="7030"/>
            <w:tcBorders>
              <w:top w:val="single" w:sz="4" w:color="D0D5DD"/>
              <w:bottom w:val="single" w:sz="4" w:color="D0D5DD"/>
              <w:left w:val="single" w:sz="4" w:color="D0D5DD"/>
              <w:right w:val="single" w:sz="4" w:color="D0D5DD"/>
            </w:tcBorders>
          </w:tcPr>
          <w:p>
            <w:pPr>
              <w:spacing w:before="20" w:after="20"/>
            </w:pPr>
            <w:r>
              <w:rPr>
                <w:color w:val="475467"/>
                <w:sz w:val="19"/>
              </w:rPr>
              <w:t>17 July 2026</w:t>
            </w:r>
          </w:p>
        </w:tc>
      </w:tr>
      <w:tr>
        <w:tc>
          <w:tcPr>
            <w:tcW w:type="dxa" w:w="2381"/>
            <w:tcBorders>
              <w:top w:val="single" w:sz="4" w:color="D0D5DD"/>
              <w:bottom w:val="single" w:sz="4" w:color="D0D5DD"/>
              <w:left w:val="single" w:sz="4" w:color="D0D5DD"/>
              <w:right w:val="single" w:sz="4" w:color="D0D5DD"/>
            </w:tcBorders>
          </w:tcPr>
          <w:p>
            <w:pPr>
              <w:spacing w:before="20" w:after="20"/>
            </w:pPr>
            <w:r>
              <w:rPr>
                <w:color w:val="475467"/>
                <w:sz w:val="19"/>
              </w:rPr>
              <w:t>Basis</w:t>
            </w:r>
          </w:p>
        </w:tc>
        <w:tc>
          <w:tcPr>
            <w:tcW w:type="dxa" w:w="7030"/>
            <w:tcBorders>
              <w:top w:val="single" w:sz="4" w:color="D0D5DD"/>
              <w:bottom w:val="single" w:sz="4" w:color="D0D5DD"/>
              <w:left w:val="single" w:sz="4" w:color="D0D5DD"/>
              <w:right w:val="single" w:sz="4" w:color="D0D5DD"/>
            </w:tcBorders>
          </w:tcPr>
          <w:p>
            <w:pPr>
              <w:spacing w:before="20" w:after="20"/>
            </w:pPr>
            <w:r>
              <w:rPr>
                <w:color w:val="475467"/>
                <w:sz w:val="19"/>
              </w:rPr>
              <w:t>Repository trex0092/HAWKEYE-STERLING-RA — application version 3.7.2</w:t>
            </w:r>
          </w:p>
        </w:tc>
      </w:tr>
      <w:tr>
        <w:tc>
          <w:tcPr>
            <w:tcW w:type="dxa" w:w="2381"/>
            <w:tcBorders>
              <w:top w:val="single" w:sz="4" w:color="D0D5DD"/>
              <w:bottom w:val="single" w:sz="4" w:color="D0D5DD"/>
              <w:left w:val="single" w:sz="4" w:color="D0D5DD"/>
              <w:right w:val="single" w:sz="4" w:color="D0D5DD"/>
            </w:tcBorders>
          </w:tcPr>
          <w:p>
            <w:pPr>
              <w:spacing w:before="20" w:after="20"/>
            </w:pPr>
            <w:r>
              <w:rPr>
                <w:color w:val="475467"/>
                <w:sz w:val="19"/>
              </w:rPr>
              <w:t>Method</w:t>
            </w:r>
          </w:p>
        </w:tc>
        <w:tc>
          <w:tcPr>
            <w:tcW w:type="dxa" w:w="7030"/>
            <w:tcBorders>
              <w:top w:val="single" w:sz="4" w:color="D0D5DD"/>
              <w:bottom w:val="single" w:sz="4" w:color="D0D5DD"/>
              <w:left w:val="single" w:sz="4" w:color="D0D5DD"/>
              <w:right w:val="single" w:sz="4" w:color="D0D5DD"/>
            </w:tcBorders>
          </w:tcPr>
          <w:p>
            <w:pPr>
              <w:spacing w:before="20" w:after="20"/>
            </w:pPr>
            <w:r>
              <w:rPr>
                <w:color w:val="475467"/>
                <w:sz w:val="19"/>
              </w:rPr>
              <w:t>Full source-code and documentation review; no external claims</w:t>
            </w:r>
          </w:p>
        </w:tc>
      </w:tr>
      <w:tr>
        <w:tc>
          <w:tcPr>
            <w:tcW w:type="dxa" w:w="2381"/>
            <w:tcBorders>
              <w:top w:val="single" w:sz="4" w:color="D0D5DD"/>
              <w:bottom w:val="single" w:sz="4" w:color="D0D5DD"/>
              <w:left w:val="single" w:sz="4" w:color="D0D5DD"/>
              <w:right w:val="single" w:sz="4" w:color="D0D5DD"/>
            </w:tcBorders>
          </w:tcPr>
          <w:p>
            <w:pPr>
              <w:spacing w:before="20" w:after="20"/>
            </w:pPr>
            <w:r>
              <w:rPr>
                <w:color w:val="475467"/>
                <w:sz w:val="19"/>
              </w:rPr>
              <w:t>Evidence convention</w:t>
            </w:r>
          </w:p>
        </w:tc>
        <w:tc>
          <w:tcPr>
            <w:tcW w:type="dxa" w:w="7030"/>
            <w:tcBorders>
              <w:top w:val="single" w:sz="4" w:color="D0D5DD"/>
              <w:bottom w:val="single" w:sz="4" w:color="D0D5DD"/>
              <w:left w:val="single" w:sz="4" w:color="D0D5DD"/>
              <w:right w:val="single" w:sz="4" w:color="D0D5DD"/>
            </w:tcBorders>
          </w:tcPr>
          <w:p>
            <w:pPr>
              <w:spacing w:before="20" w:after="20"/>
            </w:pPr>
            <w:r>
              <w:rPr>
                <w:color w:val="475467"/>
                <w:sz w:val="19"/>
              </w:rPr>
              <w:t>Repository paths cited inline, e.g. ai.py, netlify/functions/brain-soul.js</w:t>
            </w:r>
          </w:p>
        </w:tc>
      </w:tr>
      <w:tr>
        <w:tc>
          <w:tcPr>
            <w:tcW w:type="dxa" w:w="2381"/>
            <w:tcBorders>
              <w:top w:val="single" w:sz="4" w:color="D0D5DD"/>
              <w:bottom w:val="single" w:sz="4" w:color="D0D5DD"/>
              <w:left w:val="single" w:sz="4" w:color="D0D5DD"/>
              <w:right w:val="single" w:sz="4" w:color="D0D5DD"/>
            </w:tcBorders>
          </w:tcPr>
          <w:p>
            <w:pPr>
              <w:spacing w:before="20" w:after="20"/>
            </w:pPr>
            <w:r>
              <w:rPr>
                <w:color w:val="475467"/>
                <w:sz w:val="19"/>
              </w:rPr>
              <w:t>Status convention</w:t>
            </w:r>
          </w:p>
        </w:tc>
        <w:tc>
          <w:tcPr>
            <w:tcW w:type="dxa" w:w="7030"/>
            <w:tcBorders>
              <w:top w:val="single" w:sz="4" w:color="D0D5DD"/>
              <w:bottom w:val="single" w:sz="4" w:color="D0D5DD"/>
              <w:left w:val="single" w:sz="4" w:color="D0D5DD"/>
              <w:right w:val="single" w:sz="4" w:color="D0D5DD"/>
            </w:tcBorders>
          </w:tcPr>
          <w:p>
            <w:pPr>
              <w:spacing w:before="20" w:after="20"/>
            </w:pPr>
            <w:r>
              <w:rPr>
                <w:color w:val="475467"/>
                <w:sz w:val="19"/>
              </w:rPr>
              <w:t>IMPLEMENTED = in the codebase today · ROADMAP = recommended, not yet built</w:t>
            </w:r>
          </w:p>
        </w:tc>
      </w:tr>
      <w:tr>
        <w:tc>
          <w:tcPr>
            <w:tcW w:type="dxa" w:w="2381"/>
            <w:tcBorders>
              <w:top w:val="single" w:sz="4" w:color="D0D5DD"/>
              <w:bottom w:val="single" w:sz="4" w:color="D0D5DD"/>
              <w:left w:val="single" w:sz="4" w:color="D0D5DD"/>
              <w:right w:val="single" w:sz="4" w:color="D0D5DD"/>
            </w:tcBorders>
          </w:tcPr>
          <w:p>
            <w:pPr>
              <w:spacing w:before="20" w:after="20"/>
            </w:pPr>
            <w:r>
              <w:rPr>
                <w:color w:val="475467"/>
                <w:sz w:val="19"/>
              </w:rPr>
              <w:t>Classification</w:t>
            </w:r>
          </w:p>
        </w:tc>
        <w:tc>
          <w:tcPr>
            <w:tcW w:type="dxa" w:w="7030"/>
            <w:tcBorders>
              <w:top w:val="single" w:sz="4" w:color="D0D5DD"/>
              <w:bottom w:val="single" w:sz="4" w:color="D0D5DD"/>
              <w:left w:val="single" w:sz="4" w:color="D0D5DD"/>
              <w:right w:val="single" w:sz="4" w:color="D0D5DD"/>
            </w:tcBorders>
          </w:tcPr>
          <w:p>
            <w:pPr>
              <w:spacing w:before="20" w:after="20"/>
            </w:pPr>
            <w:r>
              <w:rPr>
                <w:color w:val="475467"/>
                <w:sz w:val="19"/>
              </w:rPr>
              <w:t>Proprietary — for authorized internal, client and regulator presentation use</w:t>
            </w:r>
          </w:p>
        </w:tc>
      </w:tr>
    </w:tbl>
    <w:p>
      <w:pPr>
        <w:spacing w:after="40"/>
      </w:pPr>
    </w:p>
    <w:p>
      <w:r>
        <w:br w:type="page"/>
      </w:r>
    </w:p>
    <w:p>
      <w:pPr>
        <w:spacing w:after="200"/>
      </w:pPr>
      <w:r>
        <w:rPr>
          <w:b/>
          <w:i w:val="0"/>
          <w:color w:val="101828"/>
          <w:sz w:val="30"/>
        </w:rPr>
        <w:t>CONTENTS</w:t>
      </w:r>
    </w:p>
    <w:p>
      <w:pPr>
        <w:spacing w:after="100"/>
      </w:pPr>
      <w:r>
        <w:rPr>
          <w:b/>
          <w:color w:val="BE185D"/>
          <w:sz w:val="22"/>
        </w:rPr>
        <w:t xml:space="preserve">01   </w:t>
      </w:r>
      <w:r>
        <w:rPr>
          <w:color w:val="101828"/>
          <w:sz w:val="22"/>
        </w:rPr>
        <w:t>Executive Summary</w:t>
      </w:r>
    </w:p>
    <w:p>
      <w:pPr>
        <w:spacing w:after="100"/>
      </w:pPr>
      <w:r>
        <w:rPr>
          <w:b/>
          <w:color w:val="BE185D"/>
          <w:sz w:val="22"/>
        </w:rPr>
        <w:t xml:space="preserve">02   </w:t>
      </w:r>
      <w:r>
        <w:rPr>
          <w:color w:val="101828"/>
          <w:sz w:val="22"/>
        </w:rPr>
        <w:t>Compliance Challenges</w:t>
      </w:r>
    </w:p>
    <w:p>
      <w:pPr>
        <w:spacing w:after="100"/>
      </w:pPr>
      <w:r>
        <w:rPr>
          <w:b/>
          <w:color w:val="BE185D"/>
          <w:sz w:val="22"/>
        </w:rPr>
        <w:t xml:space="preserve">03   </w:t>
      </w:r>
      <w:r>
        <w:rPr>
          <w:color w:val="101828"/>
          <w:sz w:val="22"/>
        </w:rPr>
        <w:t>Where AI Is Used — Component Inventory</w:t>
      </w:r>
    </w:p>
    <w:p>
      <w:pPr>
        <w:spacing w:after="100"/>
      </w:pPr>
      <w:r>
        <w:rPr>
          <w:b/>
          <w:color w:val="BE185D"/>
          <w:sz w:val="22"/>
        </w:rPr>
        <w:t xml:space="preserve">04   </w:t>
      </w:r>
      <w:r>
        <w:rPr>
          <w:color w:val="101828"/>
          <w:sz w:val="22"/>
        </w:rPr>
        <w:t>AI Workflow — The Intelligence Lifecycle</w:t>
      </w:r>
    </w:p>
    <w:p>
      <w:pPr>
        <w:spacing w:after="100"/>
      </w:pPr>
      <w:r>
        <w:rPr>
          <w:b/>
          <w:color w:val="BE185D"/>
          <w:sz w:val="22"/>
        </w:rPr>
        <w:t xml:space="preserve">05   </w:t>
      </w:r>
      <w:r>
        <w:rPr>
          <w:color w:val="101828"/>
          <w:sz w:val="22"/>
        </w:rPr>
        <w:t>AI Capabilities — What Exists in the Code</w:t>
      </w:r>
    </w:p>
    <w:p>
      <w:pPr>
        <w:spacing w:after="100"/>
      </w:pPr>
      <w:r>
        <w:rPr>
          <w:b/>
          <w:color w:val="BE185D"/>
          <w:sz w:val="22"/>
        </w:rPr>
        <w:t xml:space="preserve">06   </w:t>
      </w:r>
      <w:r>
        <w:rPr>
          <w:color w:val="101828"/>
          <w:sz w:val="22"/>
        </w:rPr>
        <w:t>Compliance Use Cases</w:t>
      </w:r>
    </w:p>
    <w:p>
      <w:pPr>
        <w:spacing w:after="100"/>
      </w:pPr>
      <w:r>
        <w:rPr>
          <w:b/>
          <w:color w:val="BE185D"/>
          <w:sz w:val="22"/>
        </w:rPr>
        <w:t xml:space="preserve">07   </w:t>
      </w:r>
      <w:r>
        <w:rPr>
          <w:color w:val="101828"/>
          <w:sz w:val="22"/>
        </w:rPr>
        <w:t>Human-in-the-Loop</w:t>
      </w:r>
    </w:p>
    <w:p>
      <w:pPr>
        <w:spacing w:after="100"/>
      </w:pPr>
      <w:r>
        <w:rPr>
          <w:b/>
          <w:color w:val="BE185D"/>
          <w:sz w:val="22"/>
        </w:rPr>
        <w:t xml:space="preserve">08   </w:t>
      </w:r>
      <w:r>
        <w:rPr>
          <w:color w:val="101828"/>
          <w:sz w:val="22"/>
        </w:rPr>
        <w:t>AI Governance</w:t>
      </w:r>
    </w:p>
    <w:p>
      <w:pPr>
        <w:spacing w:after="100"/>
      </w:pPr>
      <w:r>
        <w:rPr>
          <w:b/>
          <w:color w:val="BE185D"/>
          <w:sz w:val="22"/>
        </w:rPr>
        <w:t xml:space="preserve">09   </w:t>
      </w:r>
      <w:r>
        <w:rPr>
          <w:color w:val="101828"/>
          <w:sz w:val="22"/>
        </w:rPr>
        <w:t>Business Benefits</w:t>
      </w:r>
    </w:p>
    <w:p>
      <w:pPr>
        <w:spacing w:after="100"/>
      </w:pPr>
      <w:r>
        <w:rPr>
          <w:b/>
          <w:color w:val="BE185D"/>
          <w:sz w:val="22"/>
        </w:rPr>
        <w:t xml:space="preserve">10   </w:t>
      </w:r>
      <w:r>
        <w:rPr>
          <w:color w:val="101828"/>
          <w:sz w:val="22"/>
        </w:rPr>
        <w:t>Technical Architecture</w:t>
      </w:r>
    </w:p>
    <w:p>
      <w:pPr>
        <w:spacing w:after="100"/>
      </w:pPr>
      <w:r>
        <w:rPr>
          <w:b/>
          <w:color w:val="BE185D"/>
          <w:sz w:val="22"/>
        </w:rPr>
        <w:t xml:space="preserve">11   </w:t>
      </w:r>
      <w:r>
        <w:rPr>
          <w:color w:val="101828"/>
          <w:sz w:val="22"/>
        </w:rPr>
        <w:t>Repository Mapping</w:t>
      </w:r>
    </w:p>
    <w:p>
      <w:pPr>
        <w:spacing w:after="100"/>
      </w:pPr>
      <w:r>
        <w:rPr>
          <w:b/>
          <w:color w:val="BE185D"/>
          <w:sz w:val="22"/>
        </w:rPr>
        <w:t xml:space="preserve">12   </w:t>
      </w:r>
      <w:r>
        <w:rPr>
          <w:color w:val="101828"/>
          <w:sz w:val="22"/>
        </w:rPr>
        <w:t>SWOT Analysis — AI-Enabled Compliance Perspective</w:t>
      </w:r>
    </w:p>
    <w:p>
      <w:pPr>
        <w:spacing w:after="100"/>
      </w:pPr>
      <w:r>
        <w:rPr>
          <w:b/>
          <w:color w:val="BE185D"/>
          <w:sz w:val="22"/>
        </w:rPr>
        <w:t xml:space="preserve">13   </w:t>
      </w:r>
      <w:r>
        <w:rPr>
          <w:color w:val="101828"/>
          <w:sz w:val="22"/>
        </w:rPr>
        <w:t>Roadmap — Recommended AI Enhancements</w:t>
      </w:r>
    </w:p>
    <w:p>
      <w:pPr>
        <w:spacing w:after="100"/>
      </w:pPr>
      <w:r>
        <w:rPr>
          <w:b/>
          <w:color w:val="BE185D"/>
          <w:sz w:val="22"/>
        </w:rPr>
        <w:t xml:space="preserve">14   </w:t>
      </w:r>
      <w:r>
        <w:rPr>
          <w:color w:val="101828"/>
          <w:sz w:val="22"/>
        </w:rPr>
        <w:t>Executive Closing</w:t>
      </w:r>
    </w:p>
    <w:p>
      <w:pPr>
        <w:spacing w:after="100"/>
      </w:pPr>
      <w:r>
        <w:rPr>
          <w:b/>
          <w:color w:val="BE185D"/>
          <w:sz w:val="22"/>
        </w:rPr>
        <w:t xml:space="preserve">A   </w:t>
      </w:r>
      <w:r>
        <w:rPr>
          <w:color w:val="101828"/>
          <w:sz w:val="22"/>
        </w:rPr>
        <w:t>Appendix A — 20-Slide Executive Storyboard</w:t>
      </w:r>
    </w:p>
    <w:p>
      <w:pPr>
        <w:spacing w:after="100"/>
      </w:pPr>
      <w:r>
        <w:rPr>
          <w:b/>
          <w:color w:val="BE185D"/>
          <w:sz w:val="22"/>
        </w:rPr>
        <w:t xml:space="preserve">B   </w:t>
      </w:r>
      <w:r>
        <w:rPr>
          <w:color w:val="101828"/>
          <w:sz w:val="22"/>
        </w:rPr>
        <w:t>Appendix B — Diagram Sources (Mermaid)</w:t>
      </w:r>
    </w:p>
    <w:p>
      <w:pPr>
        <w:spacing w:after="100"/>
      </w:pPr>
      <w:r>
        <w:rPr>
          <w:b/>
          <w:color w:val="BE185D"/>
          <w:sz w:val="22"/>
        </w:rPr>
        <w:t xml:space="preserve">C   </w:t>
      </w:r>
      <w:r>
        <w:rPr>
          <w:color w:val="101828"/>
          <w:sz w:val="22"/>
        </w:rPr>
        <w:t>Appendix C — Evidence Index</w:t>
      </w:r>
    </w:p>
    <w:p>
      <w:pPr>
        <w:spacing w:after="120"/>
      </w:pPr>
    </w:p>
    <w:tbl>
      <w:tblPr>
        <w:tblW w:type="auto" w:w="0"/>
        <w:jc w:val="center"/>
        <w:tblLook w:firstColumn="1" w:firstRow="1" w:lastColumn="0" w:lastRow="0" w:noHBand="0" w:noVBand="1" w:val="04A0"/>
      </w:tblPr>
      <w:tblGrid>
        <w:gridCol w:w="9412"/>
      </w:tblGrid>
      <w:tr>
        <w:tc>
          <w:tcPr>
            <w:tcW w:type="dxa" w:w="9411"/>
            <w:shd w:val="clear" w:fill="E8F0FE"/>
            <w:tcBorders>
              <w:left w:val="single" w:sz="24" w:color="1D4ED8"/>
              <w:top w:val="single" w:sz="2" w:color="E8F0FE"/>
              <w:bottom w:val="single" w:sz="2" w:color="E8F0FE"/>
              <w:right w:val="single" w:sz="2" w:color="E8F0FE"/>
            </w:tcBorders>
          </w:tcPr>
          <w:p>
            <w:pPr>
              <w:spacing w:before="40" w:after="40"/>
            </w:pPr>
            <w:r>
              <w:rPr>
                <w:b/>
                <w:color w:val="101828"/>
                <w:sz w:val="20"/>
              </w:rPr>
              <w:t>READING GUIDE</w:t>
              <w:br/>
            </w:r>
            <w:r>
              <w:rPr>
                <w:color w:val="475467"/>
                <w:sz w:val="20"/>
              </w:rPr>
              <w:t>How to read this plan. Sections 01–14 are the presentation narrative in delivery order; each opens with the slide it maps to and the key message an executive audience should retain. Appendix A converts the narrative into a 20-slide storyboard with PowerPoint-ready graphic descriptions. Appendix C indexes every repository artifact cited, so any claim can be verified in minutes during regulator or client due diligence.</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01   </w:t>
      </w:r>
      <w:r>
        <w:rPr>
          <w:rFonts w:ascii="Calibri" w:hAnsi="Calibri"/>
          <w:b/>
          <w:color w:val="101828"/>
          <w:sz w:val="34"/>
        </w:rPr>
        <w:t>Executive Summary</w:t>
      </w:r>
    </w:p>
    <w:p>
      <w:pPr>
        <w:spacing w:after="200"/>
      </w:pPr>
      <w:r>
        <w:rPr>
          <w:b w:val="0"/>
          <w:i/>
          <w:color w:val="BE185D"/>
          <w:sz w:val="18"/>
        </w:rPr>
        <w:t>Maps to Slides 1–3 · Key message: AI is deployed here as a governed enabler of compliance — every AI output is decision support, every decision is human.</w:t>
      </w:r>
    </w:p>
    <w:p>
      <w:pPr>
        <w:pStyle w:val="Heading2"/>
        <w:keepNext/>
      </w:pPr>
      <w:r>
        <w:rPr>
          <w:b/>
          <w:color w:val="BE185D"/>
        </w:rPr>
        <w:t xml:space="preserve">1.1  </w:t>
      </w:r>
      <w:r>
        <w:rPr>
          <w:b/>
          <w:color w:val="101828"/>
        </w:rPr>
        <w:t>What the platform does</w:t>
      </w:r>
    </w:p>
    <w:p>
      <w:pPr>
        <w:spacing w:after="120"/>
      </w:pPr>
      <w:r>
        <w:rPr>
          <w:b/>
          <w:i w:val="0"/>
          <w:color w:val="101828"/>
          <w:sz w:val="21"/>
        </w:rPr>
        <w:t xml:space="preserve">Hawkeye Sterling — Entity Risk Assessment (RA) </w:t>
      </w:r>
      <w:r>
        <w:rPr>
          <w:b w:val="0"/>
          <w:i w:val="0"/>
          <w:color w:val="475467"/>
          <w:sz w:val="21"/>
        </w:rPr>
        <w:t>is an AML/CFT compliance platform built for Dealers in Precious Metals and Stones (DPMS) under the UAE regime (Federal Decree-Law No. 10 of 2025, Cabinet Resolutions 134/2025 and 74/2020), adaptable to other reporting entities. It combines three delivery surfaces (repository v3.7.2):</w:t>
      </w:r>
    </w:p>
    <w:p>
      <w:pPr>
        <w:pStyle w:val="ListBullet"/>
        <w:spacing w:after="60"/>
      </w:pPr>
      <w:r>
        <w:rPr>
          <w:b/>
          <w:color w:val="101828"/>
          <w:sz w:val="21"/>
        </w:rPr>
        <w:t xml:space="preserve">An on-device assessment suite — </w:t>
      </w:r>
      <w:r>
        <w:rPr>
          <w:color w:val="475467"/>
          <w:sz w:val="21"/>
        </w:rPr>
        <w:t>three browser pages (index.html, console.html, advisor.html) providing structured customer risk assessment with a deterministic 0–30 scoring engine, hard-outcome escalations (PROHIBITED / mandatory EDD), an assessment register, and AES-256-GCM encrypted local storage. No backend; all customer data stays on the officer's device.</w:t>
      </w:r>
    </w:p>
    <w:p>
      <w:pPr>
        <w:pStyle w:val="ListBullet"/>
        <w:spacing w:after="60"/>
      </w:pPr>
      <w:r>
        <w:rPr>
          <w:b/>
          <w:color w:val="101828"/>
          <w:sz w:val="21"/>
        </w:rPr>
        <w:t xml:space="preserve">An automated daily screening engine — </w:t>
      </w:r>
      <w:r>
        <w:rPr>
          <w:color w:val="475467"/>
          <w:sz w:val="21"/>
        </w:rPr>
        <w:t>screen.py with its AI layer ai.py and agentic governance agents.py, run by GitHub Actions every day, screening every company and every recorded owner/director/UBO against live sanctions lists (OFAC SDN, UN, EU FSF, UK OFSI, UAE EOCN, Canada SEMA), adverse media (Google News in 5 locales, GDELT, OpenSanctions) and PEP status (Wikidata), delivering one MLRO-ready report to Asana by 09:00 UAE.</w:t>
      </w:r>
    </w:p>
    <w:p>
      <w:pPr>
        <w:pStyle w:val="ListBullet"/>
        <w:spacing w:after="60"/>
      </w:pPr>
      <w:r>
        <w:rPr>
          <w:b/>
          <w:color w:val="101828"/>
          <w:sz w:val="21"/>
        </w:rPr>
        <w:t xml:space="preserve">An AI advisory layer — </w:t>
      </w:r>
      <w:r>
        <w:rPr>
          <w:color w:val="475467"/>
          <w:sz w:val="21"/>
        </w:rPr>
        <w:t>the Hawkeye Sterling Advisor, a cited-answer AML Q&amp;A whose serverless intelligence core (netlify/functions/brain-soul.js) calls Anthropic Claude models under a 10-prohibition compliance charter, seven runtime guards and a per-call audit line.</w:t>
      </w:r>
    </w:p>
    <w:p>
      <w:pPr>
        <w:pStyle w:val="Heading2"/>
        <w:keepNext/>
      </w:pPr>
      <w:r>
        <w:rPr>
          <w:b/>
          <w:color w:val="BE185D"/>
        </w:rPr>
        <w:t xml:space="preserve">1.2  </w:t>
      </w:r>
      <w:r>
        <w:rPr>
          <w:b/>
          <w:color w:val="101828"/>
        </w:rPr>
        <w:t>The compliance problems it solves</w:t>
      </w:r>
    </w:p>
    <w:p>
      <w:pPr>
        <w:spacing w:after="60"/>
        <w:keepNext/>
      </w:pPr>
      <w:r>
        <w:rPr>
          <w:b/>
          <w:i w:val="0"/>
          <w:color w:val="101828"/>
          <w:sz w:val="18"/>
        </w:rPr>
        <w:t>Table 1 — Compliance problems addressed, with repository evidence</w:t>
      </w:r>
    </w:p>
    <w:tbl>
      <w:tblPr>
        <w:tblW w:type="auto" w:w="0"/>
        <w:jc w:val="center"/>
        <w:tblLayout w:type="fixed"/>
        <w:tblLook w:firstColumn="1" w:firstRow="1" w:lastColumn="0" w:lastRow="0" w:noHBand="0" w:noVBand="1" w:val="04A0"/>
      </w:tblPr>
      <w:tblGrid>
        <w:gridCol w:w="4706"/>
        <w:gridCol w:w="4706"/>
      </w:tblGrid>
      <w:tr>
        <w:tc>
          <w:tcPr>
            <w:tcW w:type="dxa" w:w="3175"/>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Problem</w:t>
            </w:r>
          </w:p>
        </w:tc>
        <w:tc>
          <w:tcPr>
            <w:tcW w:type="dxa" w:w="6236"/>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Platform answer (evidence in repository)</w:t>
            </w:r>
          </w:p>
        </w:tc>
      </w:tr>
      <w:tr>
        <w:tc>
          <w:tcPr>
            <w:tcW w:type="dxa" w:w="3175"/>
            <w:tcBorders>
              <w:top w:val="single" w:sz="4" w:color="D0D5DD"/>
              <w:bottom w:val="single" w:sz="4" w:color="D0D5DD"/>
              <w:left w:val="single" w:sz="4" w:color="D0D5DD"/>
              <w:right w:val="single" w:sz="4" w:color="D0D5DD"/>
            </w:tcBorders>
          </w:tcPr>
          <w:p>
            <w:pPr>
              <w:spacing w:before="20" w:after="20"/>
            </w:pPr>
            <w:r>
              <w:rPr>
                <w:color w:val="475467"/>
                <w:sz w:val="19"/>
              </w:rPr>
              <w:t>Manual, inconsistent customer risk assessment</w:t>
            </w:r>
          </w:p>
        </w:tc>
        <w:tc>
          <w:tcPr>
            <w:tcW w:type="dxa" w:w="6236"/>
            <w:tcBorders>
              <w:top w:val="single" w:sz="4" w:color="D0D5DD"/>
              <w:bottom w:val="single" w:sz="4" w:color="D0D5DD"/>
              <w:left w:val="single" w:sz="4" w:color="D0D5DD"/>
              <w:right w:val="single" w:sz="4" w:color="D0D5DD"/>
            </w:tcBorders>
          </w:tcPr>
          <w:p>
            <w:pPr>
              <w:spacing w:before="20" w:after="20"/>
            </w:pPr>
            <w:r>
              <w:rPr>
                <w:color w:val="475467"/>
                <w:sz w:val="19"/>
              </w:rPr>
              <w:t>Structured 0–30 methodology with hard outcomes, analyst override ratchet, print-ready audit report (index.html, app.js)</w:t>
            </w:r>
          </w:p>
        </w:tc>
      </w:tr>
      <w:tr>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Sanctions exposure changing daily</w:t>
            </w:r>
          </w:p>
        </w:tc>
        <w:tc>
          <w:tcPr>
            <w:tcW w:type="dxa" w:w="623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Daily unified screen of the whole customer base + 6-hourly onboarding screen; delta engine leads with what is new (screen.py; weekly-adverse-media.yml, onboarding-screen.yml)</w:t>
            </w:r>
          </w:p>
        </w:tc>
      </w:tr>
      <w:tr>
        <w:tc>
          <w:tcPr>
            <w:tcW w:type="dxa" w:w="3175"/>
            <w:tcBorders>
              <w:top w:val="single" w:sz="4" w:color="D0D5DD"/>
              <w:bottom w:val="single" w:sz="4" w:color="D0D5DD"/>
              <w:left w:val="single" w:sz="4" w:color="D0D5DD"/>
              <w:right w:val="single" w:sz="4" w:color="D0D5DD"/>
            </w:tcBorders>
          </w:tcPr>
          <w:p>
            <w:pPr>
              <w:spacing w:before="20" w:after="20"/>
            </w:pPr>
            <w:r>
              <w:rPr>
                <w:color w:val="475467"/>
                <w:sz w:val="19"/>
              </w:rPr>
              <w:t>Adverse media volume and noise</w:t>
            </w:r>
          </w:p>
        </w:tc>
        <w:tc>
          <w:tcPr>
            <w:tcW w:type="dxa" w:w="6236"/>
            <w:tcBorders>
              <w:top w:val="single" w:sz="4" w:color="D0D5DD"/>
              <w:bottom w:val="single" w:sz="4" w:color="D0D5DD"/>
              <w:left w:val="single" w:sz="4" w:color="D0D5DD"/>
              <w:right w:val="single" w:sz="4" w:color="D0D5DD"/>
            </w:tcBorders>
          </w:tcPr>
          <w:p>
            <w:pPr>
              <w:spacing w:before="20" w:after="20"/>
            </w:pPr>
            <w:r>
              <w:rPr>
                <w:color w:val="475467"/>
                <w:sz w:val="19"/>
              </w:rPr>
              <w:t>Multi-source collection, duplicate merging, typology bucketing, severity/relevance/confidence triage per article (screen.py, ai.py)</w:t>
            </w:r>
          </w:p>
        </w:tc>
      </w:tr>
      <w:tr>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Hidden ownership risk</w:t>
            </w:r>
          </w:p>
        </w:tc>
        <w:tc>
          <w:tcPr>
            <w:tcW w:type="dxa" w:w="623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50% ownership/control rule — a designated UBO flags the company even when its own name is clear; related-party graph across the book (ai.py)</w:t>
            </w:r>
          </w:p>
        </w:tc>
      </w:tr>
      <w:tr>
        <w:tc>
          <w:tcPr>
            <w:tcW w:type="dxa" w:w="3175"/>
            <w:tcBorders>
              <w:top w:val="single" w:sz="4" w:color="D0D5DD"/>
              <w:bottom w:val="single" w:sz="4" w:color="D0D5DD"/>
              <w:left w:val="single" w:sz="4" w:color="D0D5DD"/>
              <w:right w:val="single" w:sz="4" w:color="D0D5DD"/>
            </w:tcBorders>
          </w:tcPr>
          <w:p>
            <w:pPr>
              <w:spacing w:before="20" w:after="20"/>
            </w:pPr>
            <w:r>
              <w:rPr>
                <w:color w:val="475467"/>
                <w:sz w:val="19"/>
              </w:rPr>
              <w:t>Investigation workload</w:t>
            </w:r>
          </w:p>
        </w:tc>
        <w:tc>
          <w:tcPr>
            <w:tcW w:type="dxa" w:w="6236"/>
            <w:tcBorders>
              <w:top w:val="single" w:sz="4" w:color="D0D5DD"/>
              <w:bottom w:val="single" w:sz="4" w:color="D0D5DD"/>
              <w:left w:val="single" w:sz="4" w:color="D0D5DD"/>
              <w:right w:val="single" w:sz="4" w:color="D0D5DD"/>
            </w:tcBorders>
          </w:tcPr>
          <w:p>
            <w:pPr>
              <w:spacing w:before="20" w:after="20"/>
            </w:pPr>
            <w:r>
              <w:rPr>
                <w:color w:val="475467"/>
                <w:sz w:val="19"/>
              </w:rPr>
              <w:t>MLRO case subtasks per new hit, 'why flagged / what to check' notes, goAML STR/SAR draft dossiers (ai.py, str_dossier.py)</w:t>
            </w:r>
          </w:p>
        </w:tc>
      </w:tr>
      <w:tr>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Audit and regulator readiness</w:t>
            </w:r>
          </w:p>
        </w:tc>
        <w:tc>
          <w:tcPr>
            <w:tcW w:type="dxa" w:w="623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Agent-level audit trail, deterministic QA gate, hash-chained device activity log, 10-year retention posture (agents.py; index.html device log)</w:t>
            </w:r>
          </w:p>
        </w:tc>
      </w:tr>
    </w:tbl>
    <w:p>
      <w:pPr>
        <w:spacing w:after="40"/>
      </w:pPr>
    </w:p>
    <w:p>
      <w:pPr>
        <w:pStyle w:val="Heading2"/>
        <w:keepNext/>
      </w:pPr>
      <w:r>
        <w:rPr>
          <w:b/>
          <w:color w:val="BE185D"/>
        </w:rPr>
        <w:t xml:space="preserve">1.3  </w:t>
      </w:r>
      <w:r>
        <w:rPr>
          <w:b/>
          <w:color w:val="101828"/>
        </w:rPr>
        <w:t>Why AI is essential — and why it is bounded</w:t>
      </w:r>
    </w:p>
    <w:p>
      <w:pPr>
        <w:spacing w:after="120"/>
      </w:pPr>
      <w:r>
        <w:rPr>
          <w:b w:val="0"/>
          <w:i w:val="0"/>
          <w:color w:val="475467"/>
          <w:sz w:val="21"/>
        </w:rPr>
        <w:t>Financial-crime screening is a judgment-intensive discipline drowning in text: names that transliterate a dozen ways, news in five languages, ownership webs, and regulatory guidance that changes weekly. Pure rules miss context; pure human review does not scale to daily whole-book screening. The platform's answer is a deliberate division of labour:</w:t>
      </w:r>
    </w:p>
    <w:p>
      <w:pPr>
        <w:pStyle w:val="ListBullet"/>
        <w:spacing w:after="60"/>
      </w:pPr>
      <w:r>
        <w:rPr>
          <w:b/>
          <w:color w:val="101828"/>
          <w:sz w:val="21"/>
        </w:rPr>
        <w:t xml:space="preserve">Deterministic where evidence must be court-grade. </w:t>
      </w:r>
      <w:r>
        <w:rPr>
          <w:color w:val="475467"/>
          <w:sz w:val="21"/>
        </w:rPr>
        <w:t>Sanctions matching, risk rating, CDD gap detection, STR assembly and every filed report are deterministic and source-verified — every item traces to a real list entry, article link or Wikidata record (ai.py design rules).</w:t>
      </w:r>
    </w:p>
    <w:p>
      <w:pPr>
        <w:pStyle w:val="ListBullet"/>
        <w:spacing w:after="60"/>
      </w:pPr>
      <w:r>
        <w:rPr>
          <w:b/>
          <w:color w:val="101828"/>
          <w:sz w:val="21"/>
        </w:rPr>
        <w:t xml:space="preserve">AI where judgment support adds speed. </w:t>
      </w:r>
      <w:r>
        <w:rPr>
          <w:color w:val="475467"/>
          <w:sz w:val="21"/>
        </w:rPr>
        <w:t>LLM-backed advisory Q&amp;A for the MLRO, grounded classification of real headlines (severity/relevance), and AI-drafted regulatory-change proposals — always labelled, always carrying the raw evidence, never deciding.</w:t>
      </w:r>
    </w:p>
    <w:p>
      <w:pPr>
        <w:pStyle w:val="ListBullet"/>
        <w:spacing w:after="60"/>
      </w:pPr>
      <w:r>
        <w:rPr>
          <w:b/>
          <w:color w:val="101828"/>
          <w:sz w:val="21"/>
        </w:rPr>
        <w:t xml:space="preserve">Governed at every step. </w:t>
      </w:r>
      <w:r>
        <w:rPr>
          <w:color w:val="475467"/>
          <w:sz w:val="21"/>
        </w:rPr>
        <w:t>LLM use is opt-in behind the firm's own API key; the engine's LLM triage ships fail-closed pending the data-processing agreement (UAE PDPL); prompt-injection defence screens all fetched text; a QA gate verifies no injected item ever reached a model (ai.py, agents.py).</w:t>
      </w:r>
    </w:p>
    <w:tbl>
      <w:tblPr>
        <w:tblW w:type="auto" w:w="0"/>
        <w:jc w:val="center"/>
        <w:tblLook w:firstColumn="1" w:firstRow="1" w:lastColumn="0" w:lastRow="0" w:noHBand="0" w:noVBand="1" w:val="04A0"/>
      </w:tblPr>
      <w:tblGrid>
        <w:gridCol w:w="9412"/>
      </w:tblGrid>
      <w:tr>
        <w:tc>
          <w:tcPr>
            <w:tcW w:type="dxa" w:w="9411"/>
            <w:shd w:val="clear" w:fill="FDE7F0"/>
            <w:tcBorders>
              <w:left w:val="single" w:sz="24" w:color="BE185D"/>
              <w:top w:val="single" w:sz="2" w:color="FDE7F0"/>
              <w:bottom w:val="single" w:sz="2" w:color="FDE7F0"/>
              <w:right w:val="single" w:sz="2" w:color="FDE7F0"/>
            </w:tcBorders>
          </w:tcPr>
          <w:p>
            <w:pPr>
              <w:spacing w:before="40" w:after="40"/>
            </w:pPr>
            <w:r>
              <w:rPr>
                <w:b/>
                <w:color w:val="101828"/>
                <w:sz w:val="20"/>
              </w:rPr>
              <w:t>KEY MESSAGE</w:t>
              <w:br/>
            </w:r>
            <w:r>
              <w:rPr>
                <w:color w:val="475467"/>
                <w:sz w:val="20"/>
              </w:rPr>
              <w:t>The differentiating claim for every audience in the room: this platform did not bolt AI onto compliance — it built a compliance operating model in which AI is licensed, scoped, evidenced and auditable. AI proposes; the MLRO disposes.</w:t>
            </w:r>
          </w:p>
        </w:tc>
      </w:tr>
    </w:tbl>
    <w:p>
      <w:pPr>
        <w:spacing w:after="40"/>
      </w:pPr>
    </w:p>
    <w:p>
      <w:pPr>
        <w:pStyle w:val="Heading2"/>
        <w:keepNext/>
      </w:pPr>
      <w:r>
        <w:rPr>
          <w:b/>
          <w:color w:val="BE185D"/>
        </w:rPr>
        <w:t xml:space="preserve">1.4  </w:t>
      </w:r>
      <w:r>
        <w:rPr>
          <w:b/>
          <w:color w:val="101828"/>
        </w:rPr>
        <w:t>Business value</w:t>
      </w:r>
    </w:p>
    <w:p>
      <w:pPr>
        <w:pStyle w:val="ListBullet"/>
        <w:spacing w:after="60"/>
      </w:pPr>
      <w:r>
        <w:rPr>
          <w:b/>
          <w:color w:val="101828"/>
          <w:sz w:val="21"/>
        </w:rPr>
        <w:t xml:space="preserve">Zero-cost always-on control. </w:t>
      </w:r>
      <w:r>
        <w:rPr>
          <w:color w:val="475467"/>
          <w:sz w:val="21"/>
        </w:rPr>
        <w:t>The daily engine needs no paid data feed and no API key; an LLM is strictly optional (README: 'free to run').</w:t>
      </w:r>
    </w:p>
    <w:p>
      <w:pPr>
        <w:pStyle w:val="ListBullet"/>
        <w:spacing w:after="60"/>
      </w:pPr>
      <w:r>
        <w:rPr>
          <w:b/>
          <w:color w:val="101828"/>
          <w:sz w:val="21"/>
        </w:rPr>
        <w:t xml:space="preserve">One report, whole book. </w:t>
      </w:r>
      <w:r>
        <w:rPr>
          <w:color w:val="475467"/>
          <w:sz w:val="21"/>
        </w:rPr>
        <w:t>Every customer and every principal screened through three modules in a single pass — one MLRO-ready task daily, not hundreds of raw alerts.</w:t>
      </w:r>
    </w:p>
    <w:p>
      <w:pPr>
        <w:pStyle w:val="ListBullet"/>
        <w:spacing w:after="60"/>
      </w:pPr>
      <w:r>
        <w:rPr>
          <w:b/>
          <w:color w:val="101828"/>
          <w:sz w:val="21"/>
        </w:rPr>
        <w:t xml:space="preserve">Analyst time to judgment, not collection. </w:t>
      </w:r>
      <w:r>
        <w:rPr>
          <w:color w:val="475467"/>
          <w:sz w:val="21"/>
        </w:rPr>
        <w:t>Deduplication, delta-vs-last-run, triage labels and drafted dossiers move effort from gathering to deciding.</w:t>
      </w:r>
    </w:p>
    <w:p>
      <w:pPr>
        <w:pStyle w:val="ListBullet"/>
        <w:spacing w:after="60"/>
      </w:pPr>
      <w:r>
        <w:rPr>
          <w:b/>
          <w:color w:val="101828"/>
          <w:sz w:val="21"/>
        </w:rPr>
        <w:t xml:space="preserve">Portfolio scalability. </w:t>
      </w:r>
      <w:r>
        <w:rPr>
          <w:color w:val="475467"/>
          <w:sz w:val="21"/>
        </w:rPr>
        <w:t>The register and automated screening let one compliance officer govern an entire portfolio from a browser and an Asana board.</w:t>
      </w:r>
    </w:p>
    <w:p>
      <w:pPr>
        <w:pStyle w:val="Heading2"/>
        <w:keepNext/>
      </w:pPr>
      <w:r>
        <w:rPr>
          <w:b/>
          <w:color w:val="BE185D"/>
        </w:rPr>
        <w:t xml:space="preserve">1.5  </w:t>
      </w:r>
      <w:r>
        <w:rPr>
          <w:b/>
          <w:color w:val="101828"/>
        </w:rPr>
        <w:t>Regulatory value</w:t>
      </w:r>
    </w:p>
    <w:p>
      <w:pPr>
        <w:pStyle w:val="ListBullet"/>
        <w:spacing w:after="60"/>
      </w:pPr>
      <w:r>
        <w:rPr>
          <w:b/>
          <w:color w:val="101828"/>
          <w:sz w:val="21"/>
        </w:rPr>
        <w:t xml:space="preserve">Alignment demonstrated, not asserted. </w:t>
      </w:r>
      <w:r>
        <w:rPr>
          <w:color w:val="475467"/>
          <w:sz w:val="21"/>
        </w:rPr>
        <w:t>FATF R.6/10/12/16/24/25/26 citations in code and reports; UAE FDL 10/2025 and Cabinet Resolution 134/2025 anchored in the STR drafts; UAE National AI Strategy 2031 and AI Ethics Principles in the AI layer's design rules.</w:t>
      </w:r>
    </w:p>
    <w:p>
      <w:pPr>
        <w:pStyle w:val="ListBullet"/>
        <w:spacing w:after="60"/>
      </w:pPr>
      <w:r>
        <w:rPr>
          <w:b/>
          <w:color w:val="101828"/>
          <w:sz w:val="21"/>
        </w:rPr>
        <w:t xml:space="preserve">A governance pack a supervisor can read. </w:t>
      </w:r>
      <w:r>
        <w:rPr>
          <w:color w:val="475467"/>
          <w:sz w:val="21"/>
        </w:rPr>
        <w:t>ISO/IEC 42001 AIMS documents, NIST AI RMF crosswalk, EU AI Act mapping, DPIA, model cards, AI asset register, incident runbook and acceptable-use policy under docs/governance and docs/aims.</w:t>
      </w:r>
    </w:p>
    <w:p>
      <w:pPr>
        <w:pStyle w:val="ListBullet"/>
        <w:spacing w:after="60"/>
      </w:pPr>
      <w:r>
        <w:rPr>
          <w:b/>
          <w:color w:val="101828"/>
          <w:sz w:val="21"/>
        </w:rPr>
        <w:t xml:space="preserve">Fail-loud engineering. </w:t>
      </w:r>
      <w:r>
        <w:rPr>
          <w:color w:val="475467"/>
          <w:sz w:val="21"/>
        </w:rPr>
        <w:t>A run that cannot screen never reports all-clear — it opens an issue; reduced coverage is declared on the face of the report.</w:t>
      </w:r>
    </w:p>
    <w:p>
      <w:pPr>
        <w:pStyle w:val="ListBullet"/>
        <w:spacing w:after="60"/>
      </w:pPr>
      <w:r>
        <w:rPr>
          <w:b/>
          <w:color w:val="101828"/>
          <w:sz w:val="21"/>
        </w:rPr>
        <w:t xml:space="preserve">Verifiable evidence chain. </w:t>
      </w:r>
      <w:r>
        <w:rPr>
          <w:color w:val="475467"/>
          <w:sz w:val="21"/>
        </w:rPr>
        <w:t>Ten-year retention posture across Asana and GitHub Actions; git history as the audit trail for risk-data changes; signed releases with SBOM and build provenance.</w:t>
      </w:r>
    </w:p>
    <w:p>
      <w:r>
        <w:br w:type="page"/>
      </w:r>
    </w:p>
    <w:p>
      <w:pPr>
        <w:pStyle w:val="Heading1"/>
        <w:pBdr>
          <w:bottom w:val="single" w:sz="10" w:space="4" w:color="BE185D"/>
        </w:pBdr>
        <w:keepNext/>
      </w:pPr>
      <w:r>
        <w:rPr>
          <w:rFonts w:ascii="Calibri" w:hAnsi="Calibri"/>
          <w:b/>
          <w:color w:val="BE185D"/>
          <w:sz w:val="34"/>
        </w:rPr>
        <w:t xml:space="preserve">02   </w:t>
      </w:r>
      <w:r>
        <w:rPr>
          <w:rFonts w:ascii="Calibri" w:hAnsi="Calibri"/>
          <w:b/>
          <w:color w:val="101828"/>
          <w:sz w:val="34"/>
        </w:rPr>
        <w:t>Compliance Challenges</w:t>
      </w:r>
    </w:p>
    <w:p>
      <w:pPr>
        <w:spacing w:after="200"/>
      </w:pPr>
      <w:r>
        <w:rPr>
          <w:b w:val="0"/>
          <w:i/>
          <w:color w:val="BE185D"/>
          <w:sz w:val="18"/>
        </w:rPr>
        <w:t>Maps to Slide 4 · Key message: each structural challenge of financial-crime compliance is met by a specific, inspectable mechanism in the repository.</w:t>
      </w:r>
    </w:p>
    <w:p>
      <w:pPr>
        <w:spacing w:after="120"/>
      </w:pPr>
      <w:r>
        <w:rPr>
          <w:b w:val="0"/>
          <w:i w:val="0"/>
          <w:color w:val="475467"/>
          <w:sz w:val="21"/>
        </w:rPr>
        <w:t>Reporting entities — and DPMS firms in particular, a FATF-designated high-risk sector — face a set of structural challenges that manual processes cannot meet at portfolio scale. The table below states each challenge in business terms and the platform's implemented response.</w:t>
      </w:r>
    </w:p>
    <w:p>
      <w:pPr>
        <w:spacing w:after="60"/>
        <w:keepNext/>
      </w:pPr>
      <w:r>
        <w:rPr>
          <w:b/>
          <w:i w:val="0"/>
          <w:color w:val="101828"/>
          <w:sz w:val="18"/>
        </w:rPr>
        <w:t>Table 2 — The ten structural challenges and the platform's implemented responses</w:t>
      </w:r>
    </w:p>
    <w:tbl>
      <w:tblPr>
        <w:tblW w:type="auto" w:w="0"/>
        <w:jc w:val="center"/>
        <w:tblLayout w:type="fixed"/>
        <w:tblLook w:firstColumn="1" w:firstRow="1" w:lastColumn="0" w:lastRow="0" w:noHBand="0" w:noVBand="1" w:val="04A0"/>
      </w:tblPr>
      <w:tblGrid>
        <w:gridCol w:w="3137"/>
        <w:gridCol w:w="3137"/>
        <w:gridCol w:w="3137"/>
      </w:tblGrid>
      <w:tr>
        <w:tc>
          <w:tcPr>
            <w:tcW w:type="dxa" w:w="1928"/>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Challenge</w:t>
            </w:r>
          </w:p>
        </w:tc>
        <w:tc>
          <w:tcPr>
            <w:tcW w:type="dxa" w:w="2608"/>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Why it is hard</w:t>
            </w:r>
          </w:p>
        </w:tc>
        <w:tc>
          <w:tcPr>
            <w:tcW w:type="dxa" w:w="4876"/>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How the platform responds</w:t>
            </w:r>
          </w:p>
        </w:tc>
      </w:tr>
      <w:tr>
        <w:tc>
          <w:tcPr>
            <w:tcW w:type="dxa" w:w="1928"/>
            <w:tcBorders>
              <w:top w:val="single" w:sz="4" w:color="D0D5DD"/>
              <w:bottom w:val="single" w:sz="4" w:color="D0D5DD"/>
              <w:left w:val="single" w:sz="4" w:color="D0D5DD"/>
              <w:right w:val="single" w:sz="4" w:color="D0D5DD"/>
            </w:tcBorders>
          </w:tcPr>
          <w:p>
            <w:pPr>
              <w:spacing w:before="20" w:after="20"/>
            </w:pPr>
            <w:r>
              <w:rPr>
                <w:color w:val="475467"/>
                <w:sz w:val="19"/>
              </w:rPr>
              <w:t>AML programme obligations</w:t>
            </w:r>
          </w:p>
        </w:tc>
        <w:tc>
          <w:tcPr>
            <w:tcW w:type="dxa" w:w="2608"/>
            <w:tcBorders>
              <w:top w:val="single" w:sz="4" w:color="D0D5DD"/>
              <w:bottom w:val="single" w:sz="4" w:color="D0D5DD"/>
              <w:left w:val="single" w:sz="4" w:color="D0D5DD"/>
              <w:right w:val="single" w:sz="4" w:color="D0D5DD"/>
            </w:tcBorders>
          </w:tcPr>
          <w:p>
            <w:pPr>
              <w:spacing w:before="20" w:after="20"/>
            </w:pPr>
            <w:r>
              <w:rPr>
                <w:color w:val="475467"/>
                <w:sz w:val="19"/>
              </w:rPr>
              <w:t>UAE FDL 10/2025 requires a risk-based programme with evidence of operation</w:t>
            </w:r>
          </w:p>
        </w:tc>
        <w:tc>
          <w:tcPr>
            <w:tcW w:type="dxa" w:w="4876"/>
            <w:tcBorders>
              <w:top w:val="single" w:sz="4" w:color="D0D5DD"/>
              <w:bottom w:val="single" w:sz="4" w:color="D0D5DD"/>
              <w:left w:val="single" w:sz="4" w:color="D0D5DD"/>
              <w:right w:val="single" w:sz="4" w:color="D0D5DD"/>
            </w:tcBorders>
          </w:tcPr>
          <w:p>
            <w:pPr>
              <w:spacing w:before="20" w:after="20"/>
            </w:pPr>
            <w:r>
              <w:rPr>
                <w:color w:val="475467"/>
                <w:sz w:val="19"/>
              </w:rPr>
              <w:t>End-to-end chain: risk assessment → daily screening → monitoring → STR draft, each stage leaving audit evidence (index.html, screen.py, agents.py)</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KYC / CDD</w:t>
            </w:r>
          </w:p>
        </w:tc>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Identity, UBO and legal-arrangement data is incomplete and decays</w:t>
            </w:r>
          </w:p>
        </w:tc>
        <w:tc>
          <w:tcPr>
            <w:tcW w:type="dxa" w:w="487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kyc.py parses each customer's compliance record, flags CDD gaps (missing/expired ID, no proof of address, unrecorded DOB/nationality) as MLRO work items (FATF R.10/R.25)</w:t>
            </w:r>
          </w:p>
        </w:tc>
      </w:tr>
      <w:tr>
        <w:tc>
          <w:tcPr>
            <w:tcW w:type="dxa" w:w="1928"/>
            <w:tcBorders>
              <w:top w:val="single" w:sz="4" w:color="D0D5DD"/>
              <w:bottom w:val="single" w:sz="4" w:color="D0D5DD"/>
              <w:left w:val="single" w:sz="4" w:color="D0D5DD"/>
              <w:right w:val="single" w:sz="4" w:color="D0D5DD"/>
            </w:tcBorders>
          </w:tcPr>
          <w:p>
            <w:pPr>
              <w:spacing w:before="20" w:after="20"/>
            </w:pPr>
            <w:r>
              <w:rPr>
                <w:color w:val="475467"/>
                <w:sz w:val="19"/>
              </w:rPr>
              <w:t>Sanctions screening</w:t>
            </w:r>
          </w:p>
        </w:tc>
        <w:tc>
          <w:tcPr>
            <w:tcW w:type="dxa" w:w="2608"/>
            <w:tcBorders>
              <w:top w:val="single" w:sz="4" w:color="D0D5DD"/>
              <w:bottom w:val="single" w:sz="4" w:color="D0D5DD"/>
              <w:left w:val="single" w:sz="4" w:color="D0D5DD"/>
              <w:right w:val="single" w:sz="4" w:color="D0D5DD"/>
            </w:tcBorders>
          </w:tcPr>
          <w:p>
            <w:pPr>
              <w:spacing w:before="20" w:after="20"/>
            </w:pPr>
            <w:r>
              <w:rPr>
                <w:color w:val="475467"/>
                <w:sz w:val="19"/>
              </w:rPr>
              <w:t>Lists change daily; names transliterate; ownership hides exposure</w:t>
            </w:r>
          </w:p>
        </w:tc>
        <w:tc>
          <w:tcPr>
            <w:tcW w:type="dxa" w:w="4876"/>
            <w:tcBorders>
              <w:top w:val="single" w:sz="4" w:color="D0D5DD"/>
              <w:bottom w:val="single" w:sz="4" w:color="D0D5DD"/>
              <w:left w:val="single" w:sz="4" w:color="D0D5DD"/>
              <w:right w:val="single" w:sz="4" w:color="D0D5DD"/>
            </w:tcBorders>
          </w:tcPr>
          <w:p>
            <w:pPr>
              <w:spacing w:before="20" w:after="20"/>
            </w:pPr>
            <w:r>
              <w:rPr>
                <w:color w:val="475467"/>
                <w:sz w:val="19"/>
              </w:rPr>
              <w:t>Daily fetch of six consolidated lists; rapidfuzz fuzzy matching with 0.85 material / 0.95 confirmed thresholds; Arabic/Turkish variant generation; 50% ownership/control rule (screen.py, ai.py)</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Adverse media</w:t>
            </w:r>
          </w:p>
        </w:tc>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Five-locale news volume; duplicates; irrelevant hits; injection-laden web text</w:t>
            </w:r>
          </w:p>
        </w:tc>
        <w:tc>
          <w:tcPr>
            <w:tcW w:type="dxa" w:w="487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Google News ×5 locales + GDELT + OpenSanctions crime watchlist; dedup across outlets; typology buckets; severity/relevance/confidence triage; all text treated as untrusted (screen.py, ai.py)</w:t>
            </w:r>
          </w:p>
        </w:tc>
      </w:tr>
      <w:tr>
        <w:tc>
          <w:tcPr>
            <w:tcW w:type="dxa" w:w="1928"/>
            <w:tcBorders>
              <w:top w:val="single" w:sz="4" w:color="D0D5DD"/>
              <w:bottom w:val="single" w:sz="4" w:color="D0D5DD"/>
              <w:left w:val="single" w:sz="4" w:color="D0D5DD"/>
              <w:right w:val="single" w:sz="4" w:color="D0D5DD"/>
            </w:tcBorders>
          </w:tcPr>
          <w:p>
            <w:pPr>
              <w:spacing w:before="20" w:after="20"/>
            </w:pPr>
            <w:r>
              <w:rPr>
                <w:color w:val="475467"/>
                <w:sz w:val="19"/>
              </w:rPr>
              <w:t>Customer risk assessment</w:t>
            </w:r>
          </w:p>
        </w:tc>
        <w:tc>
          <w:tcPr>
            <w:tcW w:type="dxa" w:w="2608"/>
            <w:tcBorders>
              <w:top w:val="single" w:sz="4" w:color="D0D5DD"/>
              <w:bottom w:val="single" w:sz="4" w:color="D0D5DD"/>
              <w:left w:val="single" w:sz="4" w:color="D0D5DD"/>
              <w:right w:val="single" w:sz="4" w:color="D0D5DD"/>
            </w:tcBorders>
          </w:tcPr>
          <w:p>
            <w:pPr>
              <w:spacing w:before="20" w:after="20"/>
            </w:pPr>
            <w:r>
              <w:rPr>
                <w:color w:val="475467"/>
                <w:sz w:val="19"/>
              </w:rPr>
              <w:t>Subjectivity and inconsistency across analysts</w:t>
            </w:r>
          </w:p>
        </w:tc>
        <w:tc>
          <w:tcPr>
            <w:tcW w:type="dxa" w:w="4876"/>
            <w:tcBorders>
              <w:top w:val="single" w:sz="4" w:color="D0D5DD"/>
              <w:bottom w:val="single" w:sz="4" w:color="D0D5DD"/>
              <w:left w:val="single" w:sz="4" w:color="D0D5DD"/>
              <w:right w:val="single" w:sz="4" w:color="D0D5DD"/>
            </w:tcBorders>
          </w:tcPr>
          <w:p>
            <w:pPr>
              <w:spacing w:before="20" w:after="20"/>
            </w:pPr>
            <w:r>
              <w:rPr>
                <w:color w:val="475467"/>
                <w:sz w:val="19"/>
              </w:rPr>
              <w:t>Deterministic 0–30 factor model; CDD/SDD/EDD bands; PROHIBITED and mandatory-EDD hard outcomes; one-way analyst override with mandatory justification (index.html, app.js)</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Transaction monitoring</w:t>
            </w:r>
          </w:p>
        </w:tc>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Rules must exist before a feed does; DPMS cash typologies are specific</w:t>
            </w:r>
          </w:p>
        </w:tc>
        <w:tc>
          <w:tcPr>
            <w:tcW w:type="dxa" w:w="487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Seven-rule engine (AED 55,000 threshold, structuring, velocity, high-risk counterparty, CDD trigger, round-amount cash, rapid pass-through) — tested and ready, INERT until a transaction feed is connected (txn_monitor.py)</w:t>
            </w:r>
          </w:p>
        </w:tc>
      </w:tr>
      <w:tr>
        <w:tc>
          <w:tcPr>
            <w:tcW w:type="dxa" w:w="1928"/>
            <w:tcBorders>
              <w:top w:val="single" w:sz="4" w:color="D0D5DD"/>
              <w:bottom w:val="single" w:sz="4" w:color="D0D5DD"/>
              <w:left w:val="single" w:sz="4" w:color="D0D5DD"/>
              <w:right w:val="single" w:sz="4" w:color="D0D5DD"/>
            </w:tcBorders>
          </w:tcPr>
          <w:p>
            <w:pPr>
              <w:spacing w:before="20" w:after="20"/>
            </w:pPr>
            <w:r>
              <w:rPr>
                <w:color w:val="475467"/>
                <w:sz w:val="19"/>
              </w:rPr>
              <w:t>False positives</w:t>
            </w:r>
          </w:p>
        </w:tc>
        <w:tc>
          <w:tcPr>
            <w:tcW w:type="dxa" w:w="2608"/>
            <w:tcBorders>
              <w:top w:val="single" w:sz="4" w:color="D0D5DD"/>
              <w:bottom w:val="single" w:sz="4" w:color="D0D5DD"/>
              <w:left w:val="single" w:sz="4" w:color="D0D5DD"/>
              <w:right w:val="single" w:sz="4" w:color="D0D5DD"/>
            </w:tcBorders>
          </w:tcPr>
          <w:p>
            <w:pPr>
              <w:spacing w:before="20" w:after="20"/>
            </w:pPr>
            <w:r>
              <w:rPr>
                <w:color w:val="475467"/>
                <w:sz w:val="19"/>
              </w:rPr>
              <w:t>Name-only matches flood analysts and bury true risk</w:t>
            </w:r>
          </w:p>
        </w:tc>
        <w:tc>
          <w:tcPr>
            <w:tcW w:type="dxa" w:w="4876"/>
            <w:tcBorders>
              <w:top w:val="single" w:sz="4" w:color="D0D5DD"/>
              <w:bottom w:val="single" w:sz="4" w:color="D0D5DD"/>
              <w:left w:val="single" w:sz="4" w:color="D0D5DD"/>
              <w:right w:val="single" w:sz="4" w:color="D0D5DD"/>
            </w:tcBorders>
          </w:tcPr>
          <w:p>
            <w:pPr>
              <w:spacing w:before="20" w:after="20"/>
            </w:pPr>
            <w:r>
              <w:rPr>
                <w:color w:val="475467"/>
                <w:sz w:val="19"/>
              </w:rPr>
              <w:t>Name-core second-match suppression so shared corporate suffixes do not match; graded match taxonomy (EXACT→WEAK) in the Advisor charter; score thresholds tunable per firm (screen.py, brain-soul.js)</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Investigation workload</w:t>
            </w:r>
          </w:p>
        </w:tc>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Re-reviewing standing alerts daily wastes scarce analyst hours</w:t>
            </w:r>
          </w:p>
        </w:tc>
        <w:tc>
          <w:tcPr>
            <w:tcW w:type="dxa" w:w="487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Delta engine leads with what is NEW since the last run; standing items marked, never dropped; per-hit case subtasks with dispositions (screen.py state files)</w:t>
            </w:r>
          </w:p>
        </w:tc>
      </w:tr>
      <w:tr>
        <w:tc>
          <w:tcPr>
            <w:tcW w:type="dxa" w:w="1928"/>
            <w:tcBorders>
              <w:top w:val="single" w:sz="4" w:color="D0D5DD"/>
              <w:bottom w:val="single" w:sz="4" w:color="D0D5DD"/>
              <w:left w:val="single" w:sz="4" w:color="D0D5DD"/>
              <w:right w:val="single" w:sz="4" w:color="D0D5DD"/>
            </w:tcBorders>
          </w:tcPr>
          <w:p>
            <w:pPr>
              <w:spacing w:before="20" w:after="20"/>
            </w:pPr>
            <w:r>
              <w:rPr>
                <w:color w:val="475467"/>
                <w:sz w:val="19"/>
              </w:rPr>
              <w:t>Regulatory expectations</w:t>
            </w:r>
          </w:p>
        </w:tc>
        <w:tc>
          <w:tcPr>
            <w:tcW w:type="dxa" w:w="2608"/>
            <w:tcBorders>
              <w:top w:val="single" w:sz="4" w:color="D0D5DD"/>
              <w:bottom w:val="single" w:sz="4" w:color="D0D5DD"/>
              <w:left w:val="single" w:sz="4" w:color="D0D5DD"/>
              <w:right w:val="single" w:sz="4" w:color="D0D5DD"/>
            </w:tcBorders>
          </w:tcPr>
          <w:p>
            <w:pPr>
              <w:spacing w:before="20" w:after="20"/>
            </w:pPr>
            <w:r>
              <w:rPr>
                <w:color w:val="475467"/>
                <w:sz w:val="19"/>
              </w:rPr>
              <w:t>Supervisors now ask how AI itself is governed</w:t>
            </w:r>
          </w:p>
        </w:tc>
        <w:tc>
          <w:tcPr>
            <w:tcW w:type="dxa" w:w="4876"/>
            <w:tcBorders>
              <w:top w:val="single" w:sz="4" w:color="D0D5DD"/>
              <w:bottom w:val="single" w:sz="4" w:color="D0D5DD"/>
              <w:left w:val="single" w:sz="4" w:color="D0D5DD"/>
              <w:right w:val="single" w:sz="4" w:color="D0D5DD"/>
            </w:tcBorders>
          </w:tcPr>
          <w:p>
            <w:pPr>
              <w:spacing w:before="20" w:after="20"/>
            </w:pPr>
            <w:r>
              <w:rPr>
                <w:color w:val="475467"/>
                <w:sz w:val="19"/>
              </w:rPr>
              <w:t>Governance-first AI layer: opt-in gates, prompt-injection defence, QA gate, model card in code, ISO 42001 / NIST AI RMF / EU AI Act mappings (ai.py, agents.py, docs/governance)</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Audit requirements</w:t>
            </w:r>
          </w:p>
        </w:tc>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Evidence must survive staff turnover and hostile review</w:t>
            </w:r>
          </w:p>
        </w:tc>
        <w:tc>
          <w:tcPr>
            <w:tcW w:type="dxa" w:w="487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Agent action log, per-call Advisor audit lines, hash-chained device activity log, git-versioned risk data, 10-year retention posture (agents.py, brain-soul.js, index.html)</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E8F0FE"/>
            <w:tcBorders>
              <w:left w:val="single" w:sz="24" w:color="1D4ED8"/>
              <w:top w:val="single" w:sz="2" w:color="E8F0FE"/>
              <w:bottom w:val="single" w:sz="2" w:color="E8F0FE"/>
              <w:right w:val="single" w:sz="2" w:color="E8F0FE"/>
            </w:tcBorders>
          </w:tcPr>
          <w:p>
            <w:pPr>
              <w:spacing w:before="40" w:after="40"/>
            </w:pPr>
            <w:r>
              <w:rPr>
                <w:b/>
                <w:color w:val="101828"/>
                <w:sz w:val="20"/>
              </w:rPr>
              <w:t>POWERPOINT GRAPHIC — SLIDE 4</w:t>
              <w:br/>
            </w:r>
            <w:r>
              <w:rPr>
                <w:color w:val="475467"/>
                <w:sz w:val="20"/>
              </w:rPr>
              <w:t>Suggested slide graphic: a 2×5 tile wall — one tile per challenge, each tile carrying a one-word icon label (Lists · Names · News · UBOs · Consistency · Cash · Noise · Workload · Expectations · Evidence) with the mechanism name beneath. Builds to the message: 'every tile has an owner in the codebase.'</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03   </w:t>
      </w:r>
      <w:r>
        <w:rPr>
          <w:rFonts w:ascii="Calibri" w:hAnsi="Calibri"/>
          <w:b/>
          <w:color w:val="101828"/>
          <w:sz w:val="34"/>
        </w:rPr>
        <w:t>Where AI Is Used — Component Inventory</w:t>
      </w:r>
    </w:p>
    <w:p>
      <w:pPr>
        <w:spacing w:after="200"/>
      </w:pPr>
      <w:r>
        <w:rPr>
          <w:b w:val="0"/>
          <w:i/>
          <w:color w:val="BE185D"/>
          <w:sz w:val="18"/>
        </w:rPr>
        <w:t>Maps to Slides 5–7 · Key message: eighteen intelligence components across four families — every one locatable in the repository, every one labelled by what it actually is.</w:t>
      </w:r>
    </w:p>
    <w:p>
      <w:pPr>
        <w:spacing w:after="120"/>
      </w:pPr>
      <w:r>
        <w:rPr>
          <w:b w:val="0"/>
          <w:i w:val="0"/>
          <w:color w:val="475467"/>
          <w:sz w:val="21"/>
        </w:rPr>
        <w:t>The inventory below is exhaustive and honest. Components are classified by technique — large-language-model (LLM), deterministic algorithmic intelligence, or governance machinery — because regulators and clients ask precisely this question. Status tags distinguish what runs live today from what ships fail-closed awaiting an explicit governance decision.</w:t>
      </w:r>
    </w:p>
    <w:p>
      <w:pPr>
        <w:jc w:val="center"/>
        <w:keepNext/>
      </w:pPr>
      <w:r>
        <w:drawing>
          <wp:inline xmlns:a="http://schemas.openxmlformats.org/drawingml/2006/main" xmlns:pic="http://schemas.openxmlformats.org/drawingml/2006/picture">
            <wp:extent cx="5903999" cy="1893736"/>
            <wp:docPr id="1" name="Picture 1"/>
            <wp:cNvGraphicFramePr>
              <a:graphicFrameLocks noChangeAspect="1"/>
            </wp:cNvGraphicFramePr>
            <a:graphic>
              <a:graphicData uri="http://schemas.openxmlformats.org/drawingml/2006/picture">
                <pic:pic>
                  <pic:nvPicPr>
                    <pic:cNvPr id="0" name="d1-ai-component-map.png"/>
                    <pic:cNvPicPr/>
                  </pic:nvPicPr>
                  <pic:blipFill>
                    <a:blip r:embed="rId10"/>
                    <a:stretch>
                      <a:fillRect/>
                    </a:stretch>
                  </pic:blipFill>
                  <pic:spPr>
                    <a:xfrm>
                      <a:off x="0" y="0"/>
                      <a:ext cx="5903999" cy="1893736"/>
                    </a:xfrm>
                    <a:prstGeom prst="rect"/>
                  </pic:spPr>
                </pic:pic>
              </a:graphicData>
            </a:graphic>
          </wp:inline>
        </w:drawing>
      </w:r>
    </w:p>
    <w:p>
      <w:pPr>
        <w:spacing w:after="200"/>
        <w:jc w:val="center"/>
      </w:pPr>
      <w:r>
        <w:rPr>
          <w:b/>
          <w:i w:val="0"/>
          <w:color w:val="101828"/>
          <w:sz w:val="18"/>
        </w:rPr>
        <w:t>Figure 1 — AI component map — three deployment planes, one human decision point</w:t>
      </w:r>
    </w:p>
    <w:p>
      <w:pPr>
        <w:pStyle w:val="Heading2"/>
        <w:keepNext/>
      </w:pPr>
      <w:r>
        <w:rPr>
          <w:b/>
          <w:color w:val="BE185D"/>
        </w:rPr>
        <w:t xml:space="preserve">3.1  </w:t>
      </w:r>
      <w:r>
        <w:rPr>
          <w:b/>
          <w:color w:val="101828"/>
        </w:rPr>
        <w:t>Family A — LLM-powered components (Anthropic Claude, opt-in by design)</w:t>
      </w:r>
    </w:p>
    <w:p>
      <w:pPr>
        <w:spacing w:after="60"/>
        <w:keepNext/>
      </w:pPr>
      <w:r>
        <w:rPr>
          <w:b/>
          <w:i w:val="0"/>
          <w:color w:val="101828"/>
          <w:sz w:val="18"/>
        </w:rPr>
        <w:t>Table 3 — LLM-powered components — all opt-in, all evidence-carrying</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21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Component &amp; location</w:t>
            </w:r>
          </w:p>
        </w:tc>
        <w:tc>
          <w:tcPr>
            <w:tcW w:type="dxa" w:w="170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Purpose</w:t>
            </w:r>
          </w:p>
        </w:tc>
        <w:tc>
          <w:tcPr>
            <w:tcW w:type="dxa" w:w="204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Model / technique</w:t>
            </w:r>
          </w:p>
        </w:tc>
        <w:tc>
          <w:tcPr>
            <w:tcW w:type="dxa" w:w="181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Inputs → Outputs</w:t>
            </w:r>
          </w:p>
        </w:tc>
        <w:tc>
          <w:tcPr>
            <w:tcW w:type="dxa" w:w="164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Business &amp; compliance benefit</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Advisor Intelligence Core</w:t>
              <w:br/>
            </w:r>
            <w:r>
              <w:rPr>
                <w:rFonts w:ascii="Consolas" w:hAnsi="Consolas"/>
                <w:b w:val="0"/>
                <w:i w:val="0"/>
                <w:color w:val="475467"/>
                <w:sz w:val="16"/>
              </w:rPr>
              <w:t>netlify/functions/brain-soul.js</w:t>
              <w:br/>
            </w:r>
            <w:r>
              <w:rPr>
                <w:b/>
                <w:i w:val="0"/>
                <w:color w:val="047857"/>
                <w:sz w:val="17"/>
              </w:rPr>
              <w:t>IMPLEMENTED — key-gated</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Live MLRO Q&amp;A across AML/CFT, sanctions, operations, governance — the platform's conversational AI</w:t>
            </w:r>
          </w:p>
        </w:tc>
        <w:tc>
          <w:tcPr>
            <w:tcW w:type="dxa" w:w="2041"/>
            <w:tcBorders>
              <w:top w:val="single" w:sz="4" w:color="D0D5DD"/>
              <w:bottom w:val="single" w:sz="4" w:color="D0D5DD"/>
              <w:left w:val="single" w:sz="4" w:color="D0D5DD"/>
              <w:right w:val="single" w:sz="4" w:color="D0D5DD"/>
            </w:tcBorders>
          </w:tcPr>
          <w:p>
            <w:pPr>
              <w:spacing w:before="20" w:after="20"/>
            </w:pPr>
            <w:r>
              <w:rPr>
                <w:color w:val="475467"/>
                <w:sz w:val="17"/>
              </w:rPr>
              <w:t>claude-haiku-4-5 (speed) · claude-sonnet-4-6 (balanced) · claude-opus-4-8 (deep); 10-prohibition Soul Charter; embedded knowledge: 50 typologies, 39 red flags, 22 KRIs, 8 zero-tolerance thresholds</w:t>
            </w:r>
          </w:p>
        </w:tc>
        <w:tc>
          <w:tcPr>
            <w:tcW w:type="dxa" w:w="1814"/>
            <w:tcBorders>
              <w:top w:val="single" w:sz="4" w:color="D0D5DD"/>
              <w:bottom w:val="single" w:sz="4" w:color="D0D5DD"/>
              <w:left w:val="single" w:sz="4" w:color="D0D5DD"/>
              <w:right w:val="single" w:sz="4" w:color="D0D5DD"/>
            </w:tcBorders>
          </w:tcPr>
          <w:p>
            <w:pPr>
              <w:spacing w:before="20" w:after="20"/>
            </w:pPr>
            <w:r>
              <w:rPr>
                <w:color w:val="475467"/>
                <w:sz w:val="17"/>
              </w:rPr>
              <w:t>Operator question + optional context (4,000/2,000-char caps) → structured answer with scope, findings, gaps, next steps + per-call audit line and seven guard verdicts</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Instant, specialist-grade advisory capacity for the compliance office; every answer carries mandatory scope/gaps declarations and a decision-support disclaimer</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Adverse-media triage (grounded classification)</w:t>
              <w:br/>
            </w:r>
            <w:r>
              <w:rPr>
                <w:rFonts w:ascii="Consolas" w:hAnsi="Consolas"/>
                <w:b w:val="0"/>
                <w:i w:val="0"/>
                <w:color w:val="475467"/>
                <w:sz w:val="16"/>
              </w:rPr>
              <w:t>ai.py — triage_adverse()</w:t>
              <w:br/>
            </w:r>
            <w:r>
              <w:rPr>
                <w:b/>
                <w:i w:val="0"/>
                <w:color w:val="B45309"/>
                <w:sz w:val="17"/>
              </w:rPr>
              <w:t>IMPLEMENTED — fail-closed (off by default)</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Sharpen severity/relevance/confidence of REAL fetched headlines</w:t>
            </w:r>
          </w:p>
        </w:tc>
        <w:tc>
          <w:tcPr>
            <w:tcW w:type="dxa" w:w="204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claude-haiku-4-5 (default AI_MODEL); grounded-classification prompt; may only RAISE severity, never downgrade (clamped); deterministic fallback always present</w:t>
            </w:r>
          </w:p>
        </w:tc>
        <w:tc>
          <w:tcPr>
            <w:tcW w:type="dxa" w:w="181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Subject name + sanitized untrusted headline → {severity, relevance, confidence, ai:true} merged into the daily report</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Cuts adverse-media noise for analysts; LLM_TRIAGE=0 in production until the Anthropic data-processing agreement is executed — a documented UAE PDPL cross-border gate</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Generative alert summaries</w:t>
              <w:br/>
            </w:r>
            <w:r>
              <w:rPr>
                <w:rFonts w:ascii="Consolas" w:hAnsi="Consolas"/>
                <w:b w:val="0"/>
                <w:i w:val="0"/>
                <w:color w:val="475467"/>
                <w:sz w:val="16"/>
              </w:rPr>
              <w:t>ai.py — alert_summary()</w:t>
              <w:br/>
            </w:r>
            <w:r>
              <w:rPr>
                <w:b/>
                <w:i w:val="0"/>
                <w:color w:val="B45309"/>
                <w:sz w:val="17"/>
              </w:rPr>
              <w:t>IMPLEMENTED — fail-closed (off by default)</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Two-sentence 'why flagged / what to check' MLRO notes</w:t>
            </w:r>
          </w:p>
        </w:tc>
        <w:tc>
          <w:tcPr>
            <w:tcW w:type="dxa" w:w="2041"/>
            <w:tcBorders>
              <w:top w:val="single" w:sz="4" w:color="D0D5DD"/>
              <w:bottom w:val="single" w:sz="4" w:color="D0D5DD"/>
              <w:left w:val="single" w:sz="4" w:color="D0D5DD"/>
              <w:right w:val="single" w:sz="4" w:color="D0D5DD"/>
            </w:tcBorders>
          </w:tcPr>
          <w:p>
            <w:pPr>
              <w:spacing w:before="20" w:after="20"/>
            </w:pPr>
            <w:r>
              <w:rPr>
                <w:color w:val="475467"/>
                <w:sz w:val="17"/>
              </w:rPr>
              <w:t>Same gateway; REPORT_ALLOW_LLM=1 required (hard anti-hallucination rule keeps filed reports deterministic by default)</w:t>
            </w:r>
          </w:p>
        </w:tc>
        <w:tc>
          <w:tcPr>
            <w:tcW w:type="dxa" w:w="1814"/>
            <w:tcBorders>
              <w:top w:val="single" w:sz="4" w:color="D0D5DD"/>
              <w:bottom w:val="single" w:sz="4" w:color="D0D5DD"/>
              <w:left w:val="single" w:sz="4" w:color="D0D5DD"/>
              <w:right w:val="single" w:sz="4" w:color="D0D5DD"/>
            </w:tcBorders>
          </w:tcPr>
          <w:p>
            <w:pPr>
              <w:spacing w:before="20" w:after="20"/>
            </w:pPr>
            <w:r>
              <w:rPr>
                <w:color w:val="475467"/>
                <w:sz w:val="17"/>
              </w:rPr>
              <w:t>Rating + evidence bullets → labelled AI note, or deterministic template when off</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Faster case pickup; the fabrication-prone surface (free prose in filed reports) is off unless the firm explicitly opts in</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Regulatory Watch AI drafter</w:t>
              <w:br/>
            </w:r>
            <w:r>
              <w:rPr>
                <w:rFonts w:ascii="Consolas" w:hAnsi="Consolas"/>
                <w:b w:val="0"/>
                <w:i w:val="0"/>
                <w:color w:val="475467"/>
                <w:sz w:val="16"/>
              </w:rPr>
              <w:t>scripts/reg-draft.mjs</w:t>
              <w:br/>
            </w:r>
            <w:r>
              <w:rPr>
                <w:b/>
                <w:i w:val="0"/>
                <w:color w:val="047857"/>
                <w:sz w:val="17"/>
              </w:rPr>
              <w:t>IMPLEMENTED — key-gated</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Draft update proposals when a monitored regulator source changes</w:t>
            </w:r>
          </w:p>
        </w:tc>
        <w:tc>
          <w:tcPr>
            <w:tcW w:type="dxa" w:w="204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Anthropic API, key-gated; output attached to a pull request — never auto-published</w:t>
            </w:r>
          </w:p>
        </w:tc>
        <w:tc>
          <w:tcPr>
            <w:tcW w:type="dxa" w:w="181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Source-change diff → drafted proposal on the Regulatory Watch PR for human review</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Shrinks regulatory-change turnaround; git PR review is the human gate, so regulator-grade wording stays a reviewed decision</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DE7F0"/>
            <w:tcBorders>
              <w:left w:val="single" w:sz="24" w:color="BE185D"/>
              <w:top w:val="single" w:sz="2" w:color="FDE7F0"/>
              <w:bottom w:val="single" w:sz="2" w:color="FDE7F0"/>
              <w:right w:val="single" w:sz="2" w:color="FDE7F0"/>
            </w:tcBorders>
          </w:tcPr>
          <w:p>
            <w:pPr>
              <w:spacing w:before="40" w:after="40"/>
            </w:pPr>
            <w:r>
              <w:rPr>
                <w:b/>
                <w:color w:val="101828"/>
                <w:sz w:val="20"/>
              </w:rPr>
              <w:t>MODELS IN THE CODE — EXACT IDENTIFIERS</w:t>
              <w:br/>
            </w:r>
            <w:r>
              <w:rPr>
                <w:color w:val="475467"/>
                <w:sz w:val="20"/>
              </w:rPr>
              <w:t>Three-tier model strategy in production code (brain-soul.js selectModel): speed → claude-haiku-4-5-20251001 (1,024 tokens) · balanced → claude-sonnet-4-6 (4,096) · deep → claude-opus-4-8 (8,192). The engine's default triage model is claude-haiku-4-5-20251001 (ai.py AI_MODEL). Keys live server-side only — the browser never holds them; the LLM endpoint is rate-limited to 10 requests/minute/IP and carries an ADVISOR_ENABLED kill switch.</w:t>
            </w:r>
          </w:p>
        </w:tc>
      </w:tr>
    </w:tbl>
    <w:p>
      <w:pPr>
        <w:spacing w:after="40"/>
      </w:pPr>
    </w:p>
    <w:p>
      <w:pPr>
        <w:pStyle w:val="Heading2"/>
        <w:keepNext/>
      </w:pPr>
      <w:r>
        <w:rPr>
          <w:b/>
          <w:color w:val="BE185D"/>
        </w:rPr>
        <w:t xml:space="preserve">3.2  </w:t>
      </w:r>
      <w:r>
        <w:rPr>
          <w:b/>
          <w:color w:val="101828"/>
        </w:rPr>
        <w:t>Family B — Deterministic screening intelligence (the evidence-grade core)</w:t>
      </w:r>
    </w:p>
    <w:p>
      <w:pPr>
        <w:spacing w:after="60"/>
        <w:keepNext/>
      </w:pPr>
      <w:r>
        <w:rPr>
          <w:b/>
          <w:i w:val="0"/>
          <w:color w:val="101828"/>
          <w:sz w:val="18"/>
        </w:rPr>
        <w:t>Table 4 — Deterministic screening intelligence — evidence-grade, fully auditable</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21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Component &amp; location</w:t>
            </w:r>
          </w:p>
        </w:tc>
        <w:tc>
          <w:tcPr>
            <w:tcW w:type="dxa" w:w="153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Purpose</w:t>
            </w:r>
          </w:p>
        </w:tc>
        <w:tc>
          <w:tcPr>
            <w:tcW w:type="dxa" w:w="232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Technique</w:t>
            </w:r>
          </w:p>
        </w:tc>
        <w:tc>
          <w:tcPr>
            <w:tcW w:type="dxa" w:w="170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Inputs → Outputs</w:t>
            </w:r>
          </w:p>
        </w:tc>
        <w:tc>
          <w:tcPr>
            <w:tcW w:type="dxa" w:w="164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Business &amp; compliance benefit</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Fuzzy identity matching + false-positive suppression</w:t>
              <w:br/>
            </w:r>
            <w:r>
              <w:rPr>
                <w:rFonts w:ascii="Consolas" w:hAnsi="Consolas"/>
                <w:b w:val="0"/>
                <w:i w:val="0"/>
                <w:color w:val="475467"/>
                <w:sz w:val="16"/>
              </w:rPr>
              <w:t>screen.py — match_score(), screen_name()</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tcPr>
          <w:p>
            <w:pPr>
              <w:spacing w:before="20" w:after="20"/>
            </w:pPr>
            <w:r>
              <w:rPr>
                <w:color w:val="475467"/>
                <w:sz w:val="17"/>
              </w:rPr>
              <w:t>Match every customer, owner, director and UBO against six sanctions lists</w:t>
            </w:r>
          </w:p>
        </w:tc>
        <w:tc>
          <w:tcPr>
            <w:tcW w:type="dxa" w:w="2324"/>
            <w:tcBorders>
              <w:top w:val="single" w:sz="4" w:color="D0D5DD"/>
              <w:bottom w:val="single" w:sz="4" w:color="D0D5DD"/>
              <w:left w:val="single" w:sz="4" w:color="D0D5DD"/>
              <w:right w:val="single" w:sz="4" w:color="D0D5DD"/>
            </w:tcBorders>
          </w:tcPr>
          <w:p>
            <w:pPr>
              <w:spacing w:before="20" w:after="20"/>
            </w:pPr>
            <w:r>
              <w:rPr>
                <w:color w:val="475467"/>
                <w:sz w:val="17"/>
              </w:rPr>
              <w:t>rapidfuzz token_sort/token_set ratios; composite score = min(full-string, distinctive-core) so shared legal boilerplate (LLC, FZE, DMCC…) cannot match alone; thresholds 85 flag / 82 core / 97 short-name / 93 subset; tiers STRONG≥92, MODERATE≥85</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Normalised names + list entries → scored hits with matched entry, tier, provenance</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High recall without alert floods; every threshold is a visible, tunable constant a validator can test</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Transliteration recall</w:t>
              <w:br/>
            </w:r>
            <w:r>
              <w:rPr>
                <w:rFonts w:ascii="Consolas" w:hAnsi="Consolas"/>
                <w:b w:val="0"/>
                <w:i w:val="0"/>
                <w:color w:val="475467"/>
                <w:sz w:val="16"/>
              </w:rPr>
              <w:t>ai.py — name_variants()</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Catch Arabic/Turkish spelling variants (Mohammed/Muhammad, Abdul/Abdel, bin/ibn…)</w:t>
            </w:r>
          </w:p>
        </w:tc>
        <w:tc>
          <w:tcPr>
            <w:tcW w:type="dxa" w:w="232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Deterministic whole-word variant generation, 12-variant cap; Unicode folding tuned for Turkish dotless-ı</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One name → up to 12 spellings screened</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Closes a classic sanctions-evasion gap in Gulf books of business; CI-enforced cross-script bias parity test</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Ownership / control 50% rule</w:t>
              <w:br/>
            </w:r>
            <w:r>
              <w:rPr>
                <w:rFonts w:ascii="Consolas" w:hAnsi="Consolas"/>
                <w:b w:val="0"/>
                <w:i w:val="0"/>
                <w:color w:val="475467"/>
                <w:sz w:val="16"/>
              </w:rPr>
              <w:t>screen.py — screen_customers(), extract_entity_owners()</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tcPr>
          <w:p>
            <w:pPr>
              <w:spacing w:before="20" w:after="20"/>
            </w:pPr>
            <w:r>
              <w:rPr>
                <w:color w:val="475467"/>
                <w:sz w:val="17"/>
              </w:rPr>
              <w:t>Flag a company when a designated party owns or controls it</w:t>
            </w:r>
          </w:p>
        </w:tc>
        <w:tc>
          <w:tcPr>
            <w:tcW w:type="dxa" w:w="2324"/>
            <w:tcBorders>
              <w:top w:val="single" w:sz="4" w:color="D0D5DD"/>
              <w:bottom w:val="single" w:sz="4" w:color="D0D5DD"/>
              <w:left w:val="single" w:sz="4" w:color="D0D5DD"/>
              <w:right w:val="single" w:sz="4" w:color="D0D5DD"/>
            </w:tcBorders>
          </w:tcPr>
          <w:p>
            <w:pPr>
              <w:spacing w:before="20" w:after="20"/>
            </w:pPr>
            <w:r>
              <w:rPr>
                <w:color w:val="475467"/>
                <w:sz w:val="17"/>
              </w:rPr>
              <w:t>Deterministic control-linkage screening of individual AND corporate owners/parents; OFAC/EU aggregation doctrine cited in report output</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KYC principals + list hits → company flagged 'by ownership/control linkage' with the owner's evidence</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Prevents the highest-impact miss in sanctions compliance — clean-name companies with designated owners</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PEP auto-detection (with RCA/SOE)</w:t>
              <w:br/>
            </w:r>
            <w:r>
              <w:rPr>
                <w:rFonts w:ascii="Consolas" w:hAnsi="Consolas"/>
                <w:b w:val="0"/>
                <w:i w:val="0"/>
                <w:color w:val="475467"/>
                <w:sz w:val="16"/>
              </w:rPr>
              <w:t>screen.py — check_pep()</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Identify politically exposed persons, relatives/close associates, state-owned-enterprise roles</w:t>
            </w:r>
          </w:p>
        </w:tc>
        <w:tc>
          <w:tcPr>
            <w:tcW w:type="dxa" w:w="232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Wikidata exact-name lookup + role-keyword classification (precision-first); OpenSanctions PEP mirror as provenance-marked fallback; rate gates + circuit breaker</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Individual names → PEP/RCA/SOE findings with Wikidata/mirror provenance</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No firm-supplied PEP list needed; FATF R.12 EDD trigger evidenced with source records</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Adverse-media collection &amp; typology intelligence</w:t>
              <w:br/>
            </w:r>
            <w:r>
              <w:rPr>
                <w:rFonts w:ascii="Consolas" w:hAnsi="Consolas"/>
                <w:b w:val="0"/>
                <w:i w:val="0"/>
                <w:color w:val="475467"/>
                <w:sz w:val="16"/>
              </w:rPr>
              <w:t>screen.py — search_adverse_media(), match_adverse_keywords()</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tcPr>
          <w:p>
            <w:pPr>
              <w:spacing w:before="20" w:after="20"/>
            </w:pPr>
            <w:r>
              <w:rPr>
                <w:color w:val="475467"/>
                <w:sz w:val="17"/>
              </w:rPr>
              <w:t>Find and structure real-world risk news about every subject</w:t>
            </w:r>
          </w:p>
        </w:tc>
        <w:tc>
          <w:tcPr>
            <w:tcW w:type="dxa" w:w="2324"/>
            <w:tcBorders>
              <w:top w:val="single" w:sz="4" w:color="D0D5DD"/>
              <w:bottom w:val="single" w:sz="4" w:color="D0D5DD"/>
              <w:left w:val="single" w:sz="4" w:color="D0D5DD"/>
              <w:right w:val="single" w:sz="4" w:color="D0D5DD"/>
            </w:tcBorders>
          </w:tcPr>
          <w:p>
            <w:pPr>
              <w:spacing w:before="20" w:after="20"/>
            </w:pPr>
            <w:r>
              <w:rPr>
                <w:color w:val="475467"/>
                <w:sz w:val="17"/>
              </w:rPr>
              <w:t>Google News RSS (5 locales default, ~74 available) + GDELT global index + OpenSanctions crime watchlist as deterministic third net; ~130 English + Arabic + 18-language keyword sets; 10 typology buckets; duplicate merging; recency ranking</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Subject name → deduplicated, typology-bucketed articles, each with its real link</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Analysts read one merged, categorised story — not fifteen syndicated copies; coverage survives news-feed rate limits</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Delta engine &amp; repeat-pattern escalation</w:t>
              <w:br/>
            </w:r>
            <w:r>
              <w:rPr>
                <w:rFonts w:ascii="Consolas" w:hAnsi="Consolas"/>
                <w:b w:val="0"/>
                <w:i w:val="0"/>
                <w:color w:val="475467"/>
                <w:sz w:val="16"/>
              </w:rPr>
              <w:t>screen.py — classify_deltas(); data/screen-delta-state.json</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Lead every report with what is NEW; escalate emerging patterns</w:t>
            </w:r>
          </w:p>
        </w:tc>
        <w:tc>
          <w:tcPr>
            <w:tcW w:type="dxa" w:w="232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Cross-run fingerprint state (400-day retention, 7-day resurface rule); evidence log flags 3+ distinct stories on one subject in 90 days as a pattern; state commits only after confirmed delivery</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Today's findings + state → NEW vs standing marks; repeat-pattern escalations</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Analysts stop re-reviewing standing items daily; de-listed-then-re-listed parties surface as new</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Explainable customer risk rating</w:t>
              <w:br/>
            </w:r>
            <w:r>
              <w:rPr>
                <w:rFonts w:ascii="Consolas" w:hAnsi="Consolas"/>
                <w:b w:val="0"/>
                <w:i w:val="0"/>
                <w:color w:val="475467"/>
                <w:sz w:val="16"/>
              </w:rPr>
              <w:t>ai.py — compute_risk_rating()</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tcPr>
          <w:p>
            <w:pPr>
              <w:spacing w:before="20" w:after="20"/>
            </w:pPr>
            <w:r>
              <w:rPr>
                <w:color w:val="475467"/>
                <w:sz w:val="17"/>
              </w:rPr>
              <w:t>Rate each flagged customer Low / Medium / High with reasons</w:t>
            </w:r>
          </w:p>
        </w:tc>
        <w:tc>
          <w:tcPr>
            <w:tcW w:type="dxa" w:w="2324"/>
            <w:tcBorders>
              <w:top w:val="single" w:sz="4" w:color="D0D5DD"/>
              <w:bottom w:val="single" w:sz="4" w:color="D0D5DD"/>
              <w:left w:val="single" w:sz="4" w:color="D0D5DD"/>
              <w:right w:val="single" w:sz="4" w:color="D0D5DD"/>
            </w:tcBorders>
          </w:tcPr>
          <w:p>
            <w:pPr>
              <w:spacing w:before="20" w:after="20"/>
            </w:pPr>
            <w:r>
              <w:rPr>
                <w:color w:val="475467"/>
                <w:sz w:val="17"/>
              </w:rPr>
              <w:t>Deterministic FATF R.10 factor model (sector +1, call-for-action jurisdiction +3, confirmed match +6, control linkage +4, PEP +3, CDD gaps +1, adverse severity up to +5); confirmed/control ⇒ HIGH regardless</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Hits + PEP + articles + KYC gaps → {rating, score, factors[], EDD cadence}</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Consistent, contestable ratings; every factor printed — nothing to reverse-engineer at inspection</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Related-party network detection</w:t>
              <w:br/>
            </w:r>
            <w:r>
              <w:rPr>
                <w:rFonts w:ascii="Consolas" w:hAnsi="Consolas"/>
                <w:b w:val="0"/>
                <w:i w:val="0"/>
                <w:color w:val="475467"/>
                <w:sz w:val="16"/>
              </w:rPr>
              <w:t>ai.py — related_parties()</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Surface hidden links across the customer book</w:t>
            </w:r>
          </w:p>
        </w:tc>
        <w:tc>
          <w:tcPr>
            <w:tcW w:type="dxa" w:w="232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Deterministic graph over KYC data: shared owners/UBOs across customers; UBO-is-also-a-customer clusters</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Customer + principal records → named clusters in report section ④</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Book-wide exposure view (FATF R.24/25 beneficial-ownership risk) with zero model risk</w:t>
            </w:r>
          </w:p>
        </w:tc>
      </w:tr>
    </w:tbl>
    <w:p>
      <w:pPr>
        <w:spacing w:after="40"/>
      </w:pPr>
    </w:p>
    <w:p>
      <w:pPr>
        <w:pStyle w:val="Heading2"/>
        <w:keepNext/>
      </w:pPr>
      <w:r>
        <w:rPr>
          <w:b/>
          <w:color w:val="BE185D"/>
        </w:rPr>
        <w:t xml:space="preserve">3.3  </w:t>
      </w:r>
      <w:r>
        <w:rPr>
          <w:b/>
          <w:color w:val="101828"/>
        </w:rPr>
        <w:t>Family C — AI governance machinery (code, not paperwork)</w:t>
      </w:r>
    </w:p>
    <w:p>
      <w:pPr>
        <w:spacing w:after="60"/>
        <w:keepNext/>
      </w:pPr>
      <w:r>
        <w:rPr>
          <w:b/>
          <w:i w:val="0"/>
          <w:color w:val="101828"/>
          <w:sz w:val="18"/>
        </w:rPr>
        <w:t>Table 5 — Governance machinery — the controls ARE code, so they run every time</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21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Component &amp; location</w:t>
            </w:r>
          </w:p>
        </w:tc>
        <w:tc>
          <w:tcPr>
            <w:tcW w:type="dxa" w:w="153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Purpose</w:t>
            </w:r>
          </w:p>
        </w:tc>
        <w:tc>
          <w:tcPr>
            <w:tcW w:type="dxa" w:w="232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Technique</w:t>
            </w:r>
          </w:p>
        </w:tc>
        <w:tc>
          <w:tcPr>
            <w:tcW w:type="dxa" w:w="170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Inputs → Outputs</w:t>
            </w:r>
          </w:p>
        </w:tc>
        <w:tc>
          <w:tcPr>
            <w:tcW w:type="dxa" w:w="164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Business &amp; compliance benefit</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Agentic operating model</w:t>
              <w:br/>
            </w:r>
            <w:r>
              <w:rPr>
                <w:rFonts w:ascii="Consolas" w:hAnsi="Consolas"/>
                <w:b w:val="0"/>
                <w:i w:val="0"/>
                <w:color w:val="475467"/>
                <w:sz w:val="16"/>
              </w:rPr>
              <w:t>agents.py — AGENTS, AgentLog, CredentialBroker</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tcPr>
          <w:p>
            <w:pPr>
              <w:spacing w:before="20" w:after="20"/>
            </w:pPr>
            <w:r>
              <w:rPr>
                <w:color w:val="475467"/>
                <w:sz w:val="17"/>
              </w:rPr>
              <w:t>Give every pipeline module an identity, an action allow-list and an enforced audit trail</w:t>
            </w:r>
          </w:p>
        </w:tc>
        <w:tc>
          <w:tcPr>
            <w:tcW w:type="dxa" w:w="2324"/>
            <w:tcBorders>
              <w:top w:val="single" w:sz="4" w:color="D0D5DD"/>
              <w:bottom w:val="single" w:sz="4" w:color="D0D5DD"/>
              <w:left w:val="single" w:sz="4" w:color="D0D5DD"/>
              <w:right w:val="single" w:sz="4" w:color="D0D5DD"/>
            </w:tcBorders>
          </w:tcPr>
          <w:p>
            <w:pPr>
              <w:spacing w:before="20" w:after="20"/>
            </w:pPr>
            <w:r>
              <w:rPr>
                <w:color w:val="475467"/>
                <w:sz w:val="17"/>
              </w:rPr>
              <w:t>Nine least-privilege agents (Ingest, Sanctions, AdverseMedia, Pep, Risk, Network, Case, QA, Delivery); unauthorized actions denied AND logged; credential broker issues secrets per authorized action only, values never logged</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Pipeline events → append-only audit manifest + credential-scoping summary printed in report §⑥</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UAE 'Sovereign AI' agentic-governance pattern implemented in code; the case agent can propose but structurally cannot file</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Deterministic QA / governance gate</w:t>
              <w:br/>
            </w:r>
            <w:r>
              <w:rPr>
                <w:rFonts w:ascii="Consolas" w:hAnsi="Consolas"/>
                <w:b w:val="0"/>
                <w:i w:val="0"/>
                <w:color w:val="475467"/>
                <w:sz w:val="16"/>
              </w:rPr>
              <w:t>agents.py — qa_gate()</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Verify governance invariants before every publish</w:t>
            </w:r>
          </w:p>
        </w:tc>
        <w:tc>
          <w:tcPr>
            <w:tcW w:type="dxa" w:w="232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Checks: five core lists loaded; every adverse item has a source link; every hit has matched entry + score; every auto-PEP has a Wikidata id; no injection-flagged item was model-classified; every flagged subject has a rating</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Run results → pass/⚠ ATTENTION issues on the report face</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 machine-checked, regulator-readable control that AI hygiene held on every single run</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Prompt-injection defence</w:t>
              <w:br/>
            </w:r>
            <w:r>
              <w:rPr>
                <w:rFonts w:ascii="Consolas" w:hAnsi="Consolas"/>
                <w:b w:val="0"/>
                <w:i w:val="0"/>
                <w:color w:val="475467"/>
                <w:sz w:val="16"/>
              </w:rPr>
              <w:t>ai.py — detect_injection(); brain-soul.js — injectionGuard()</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tcPr>
          <w:p>
            <w:pPr>
              <w:spacing w:before="20" w:after="20"/>
            </w:pPr>
            <w:r>
              <w:rPr>
                <w:color w:val="475467"/>
                <w:sz w:val="17"/>
              </w:rPr>
              <w:t>Treat all fetched web text and operator input as untrusted</w:t>
            </w:r>
          </w:p>
        </w:tc>
        <w:tc>
          <w:tcPr>
            <w:tcW w:type="dxa" w:w="2324"/>
            <w:tcBorders>
              <w:top w:val="single" w:sz="4" w:color="D0D5DD"/>
              <w:bottom w:val="single" w:sz="4" w:color="D0D5DD"/>
              <w:left w:val="single" w:sz="4" w:color="D0D5DD"/>
              <w:right w:val="single" w:sz="4" w:color="D0D5DD"/>
            </w:tcBorders>
          </w:tcPr>
          <w:p>
            <w:pPr>
              <w:spacing w:before="20" w:after="20"/>
            </w:pPr>
            <w:r>
              <w:rPr>
                <w:color w:val="475467"/>
                <w:sz w:val="17"/>
              </w:rPr>
              <w:t>~40 marker patterns (2026Q2 red-team expansion); sanitise + cap + &lt;&lt;UNTRUSTED&gt;&gt; wrapping; on detection the item NEVER reaches the model — classified deterministically and flagged; CI red-team suite (test/redteam_injection.py)</w:t>
            </w:r>
          </w:p>
        </w:tc>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Untrusted text → blocked-from-model items with audit flags; injection_blocked counter in report §②</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Directly addresses the UAE 'Securing Agentic AI' prompt-security requirement with testable behaviour</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Runtime monitoring &amp; drift detection</w:t>
              <w:br/>
            </w:r>
            <w:r>
              <w:rPr>
                <w:rFonts w:ascii="Consolas" w:hAnsi="Consolas"/>
                <w:b w:val="0"/>
                <w:i w:val="0"/>
                <w:color w:val="475467"/>
                <w:sz w:val="16"/>
              </w:rPr>
              <w:t>monitoring.py</w:t>
              <w:br/>
            </w:r>
            <w:r>
              <w:rPr>
                <w:b/>
                <w:i w:val="0"/>
                <w:color w:val="047857"/>
                <w:sz w:val="17"/>
              </w:rPr>
              <w:t>IMPLEMENTED — LIVE</w:t>
            </w:r>
          </w:p>
        </w:tc>
        <w:tc>
          <w:tcPr>
            <w:tcW w:type="dxa" w:w="153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Detect silent degradation — the failure mode that creates false negatives</w:t>
            </w:r>
          </w:p>
        </w:tc>
        <w:tc>
          <w:tcPr>
            <w:tcW w:type="dxa" w:w="232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Trailing-median baselines: latency ×3 alarm, error-rate &gt;10%, adverse-media blackout &gt;25%, per-list coverage drop &gt;20%, staleness heartbeat; LLM call telemetry (attempted/ok/failed)</w:t>
            </w:r>
          </w:p>
        </w:tc>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Run metrics + list counts → report section ⑤ + anomaly-watch GitHub issue escalation</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Model and pipeline oversight evidence: sustained anomalies escalate automatically; nothing degrades silently</w:t>
            </w:r>
          </w:p>
        </w:tc>
      </w:tr>
    </w:tbl>
    <w:p>
      <w:pPr>
        <w:spacing w:after="40"/>
      </w:pPr>
    </w:p>
    <w:p>
      <w:pPr>
        <w:pStyle w:val="Heading2"/>
        <w:keepNext/>
      </w:pPr>
      <w:r>
        <w:rPr>
          <w:b/>
          <w:color w:val="BE185D"/>
        </w:rPr>
        <w:t xml:space="preserve">3.4  </w:t>
      </w:r>
      <w:r>
        <w:rPr>
          <w:b/>
          <w:color w:val="101828"/>
        </w:rPr>
        <w:t>Family D — Advisory user experience (deterministic AI presentation)</w:t>
      </w:r>
    </w:p>
    <w:p>
      <w:pPr>
        <w:spacing w:after="60"/>
        <w:keepNext/>
      </w:pPr>
      <w:r>
        <w:rPr>
          <w:b/>
          <w:i w:val="0"/>
          <w:color w:val="101828"/>
          <w:sz w:val="18"/>
        </w:rPr>
        <w:t>Table 6 — Advisory UX — AI presentation, deterministic substance</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21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Component &amp; location</w:t>
            </w:r>
          </w:p>
        </w:tc>
        <w:tc>
          <w:tcPr>
            <w:tcW w:type="dxa" w:w="1928"/>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Purpose</w:t>
            </w:r>
          </w:p>
        </w:tc>
        <w:tc>
          <w:tcPr>
            <w:tcW w:type="dxa" w:w="2098"/>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Technique</w:t>
            </w:r>
          </w:p>
        </w:tc>
        <w:tc>
          <w:tcPr>
            <w:tcW w:type="dxa" w:w="153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Inputs → Outputs</w:t>
            </w:r>
          </w:p>
        </w:tc>
        <w:tc>
          <w:tcPr>
            <w:tcW w:type="dxa" w:w="164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Business &amp; compliance benefit</w:t>
            </w:r>
          </w:p>
        </w:tc>
      </w:tr>
      <w:tr>
        <w:tc>
          <w:tcPr>
            <w:tcW w:type="dxa" w:w="2211"/>
            <w:tcBorders>
              <w:top w:val="single" w:sz="4" w:color="D0D5DD"/>
              <w:bottom w:val="single" w:sz="4" w:color="D0D5DD"/>
              <w:left w:val="single" w:sz="4" w:color="D0D5DD"/>
              <w:right w:val="single" w:sz="4" w:color="D0D5DD"/>
            </w:tcBorders>
          </w:tcPr>
          <w:p>
            <w:pPr>
              <w:spacing w:before="20" w:after="20"/>
            </w:pPr>
            <w:r>
              <w:rPr>
                <w:b/>
                <w:i w:val="0"/>
                <w:color w:val="101828"/>
                <w:sz w:val="17"/>
              </w:rPr>
              <w:t>Cited-answer Q&amp;A corpus + personas</w:t>
              <w:br/>
            </w:r>
            <w:r>
              <w:rPr>
                <w:rFonts w:ascii="Consolas" w:hAnsi="Consolas"/>
                <w:b w:val="0"/>
                <w:i w:val="0"/>
                <w:color w:val="475467"/>
                <w:sz w:val="16"/>
              </w:rPr>
              <w:t>advisor.html / advisor.js / assets/super-data.js</w:t>
              <w:br/>
            </w:r>
            <w:r>
              <w:rPr>
                <w:b/>
                <w:i w:val="0"/>
                <w:color w:val="047857"/>
                <w:sz w:val="17"/>
              </w:rPr>
              <w:t>IMPLEMENTED — LIVE</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7"/>
              </w:rPr>
              <w:t>Regulatory Q&amp;A with cited legal basis and decision guides; 16 named specialist personas (Sterling, Vale, Ember, Bullion, Haven…)</w:t>
            </w:r>
          </w:p>
        </w:tc>
        <w:tc>
          <w:tcPr>
            <w:tcW w:type="dxa" w:w="2098"/>
            <w:tcBorders>
              <w:top w:val="single" w:sz="4" w:color="D0D5DD"/>
              <w:bottom w:val="single" w:sz="4" w:color="D0D5DD"/>
              <w:left w:val="single" w:sz="4" w:color="D0D5DD"/>
              <w:right w:val="single" w:sz="4" w:color="D0D5DD"/>
            </w:tcBorders>
          </w:tcPr>
          <w:p>
            <w:pPr>
              <w:spacing w:before="20" w:after="20"/>
            </w:pPr>
            <w:r>
              <w:rPr>
                <w:color w:val="475467"/>
                <w:sz w:val="17"/>
              </w:rPr>
              <w:t>Curated static corpus — 60 topic groups / 350 cited questions plus 187 deterministic 'super tools' — served without any model; acceptable-use acknowledgment gate before use; the LLM path activates only for the 'Ask the advisor' tab when the serverless core is configured</w:t>
            </w:r>
          </w:p>
        </w:tc>
        <w:tc>
          <w:tcPr>
            <w:tcW w:type="dxa" w:w="1531"/>
            <w:tcBorders>
              <w:top w:val="single" w:sz="4" w:color="D0D5DD"/>
              <w:bottom w:val="single" w:sz="4" w:color="D0D5DD"/>
              <w:left w:val="single" w:sz="4" w:color="D0D5DD"/>
              <w:right w:val="single" w:sz="4" w:color="D0D5DD"/>
            </w:tcBorders>
          </w:tcPr>
          <w:p>
            <w:pPr>
              <w:spacing w:before="20" w:after="20"/>
            </w:pPr>
            <w:r>
              <w:rPr>
                <w:color w:val="475467"/>
                <w:sz w:val="17"/>
              </w:rPr>
              <w:t>Officer question → cited answer (static) or charter-governed LLM answer (live)</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7"/>
              </w:rPr>
              <w:t>Useful with zero data egress; the AI persona experience never bypasses the citation discipline</w:t>
            </w:r>
          </w:p>
        </w:tc>
      </w:tr>
      <w:tr>
        <w:tc>
          <w:tcPr>
            <w:tcW w:type="dxa" w:w="221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AI Risk Advisor personas (assessment sidebar)</w:t>
              <w:br/>
            </w:r>
            <w:r>
              <w:rPr>
                <w:rFonts w:ascii="Consolas" w:hAnsi="Consolas"/>
                <w:b w:val="0"/>
                <w:i w:val="0"/>
                <w:color w:val="475467"/>
                <w:sz w:val="16"/>
              </w:rPr>
              <w:t>index.html / app.js — Vale · Cypher · Ember</w:t>
              <w:br/>
            </w:r>
            <w:r>
              <w:rPr>
                <w:b/>
                <w:i w:val="0"/>
                <w:color w:val="047857"/>
                <w:sz w:val="17"/>
              </w:rPr>
              <w:t>IMPLEMENTED — LIVE</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Advisory presence inside the assessment: persona and HUD colour follow the operative outcome (CDD/SDD/EDD-PROHIBITED) with a one-line note</w:t>
            </w:r>
          </w:p>
        </w:tc>
        <w:tc>
          <w:tcPr>
            <w:tcW w:type="dxa" w:w="2098"/>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Rule-driven UX bound to the deterministic verdict — no model involved</w:t>
            </w:r>
          </w:p>
        </w:tc>
        <w:tc>
          <w:tcPr>
            <w:tcW w:type="dxa" w:w="153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Live verdict → persona state + advisory note</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Communicates machine assistance honestly: the 'AI' the analyst sees is a face on explainable rules</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FF4E0"/>
            <w:tcBorders>
              <w:left w:val="single" w:sz="24" w:color="B45309"/>
              <w:top w:val="single" w:sz="2" w:color="FFF4E0"/>
              <w:bottom w:val="single" w:sz="2" w:color="FFF4E0"/>
              <w:right w:val="single" w:sz="2" w:color="FFF4E0"/>
            </w:tcBorders>
          </w:tcPr>
          <w:p>
            <w:pPr>
              <w:spacing w:before="40" w:after="40"/>
            </w:pPr>
            <w:r>
              <w:rPr>
                <w:b/>
                <w:color w:val="101828"/>
                <w:sz w:val="20"/>
              </w:rPr>
              <w:t>EVIDENCE BOUNDARY — READ BEFORE PRESENTING</w:t>
              <w:br/>
            </w:r>
            <w:r>
              <w:rPr>
                <w:color w:val="475467"/>
                <w:sz w:val="20"/>
              </w:rPr>
              <w:t>What this inventory does NOT claim: no machine-learning training pipeline, no vector database, no OCR, and no neural model executes inside the repository — the dependency tree contains no ML library (ci/requirements.txt: rapidfuzz, requests, lxml, pdfplumber…). LLM capability is consumed as a governed external service from Anthropic. Section 05 states capability presence and absence explicitly.</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04   </w:t>
      </w:r>
      <w:r>
        <w:rPr>
          <w:rFonts w:ascii="Calibri" w:hAnsi="Calibri"/>
          <w:b/>
          <w:color w:val="101828"/>
          <w:sz w:val="34"/>
        </w:rPr>
        <w:t>AI Workflow — The Intelligence Lifecycle</w:t>
      </w:r>
    </w:p>
    <w:p>
      <w:pPr>
        <w:spacing w:after="200"/>
      </w:pPr>
      <w:r>
        <w:rPr>
          <w:b w:val="0"/>
          <w:i/>
          <w:color w:val="BE185D"/>
          <w:sz w:val="18"/>
        </w:rPr>
        <w:t>Maps to Slide 8 · Key message: nine stages, one daily heartbeat — human review and the audit trail are stages of the pipeline, not afterthoughts.</w:t>
      </w:r>
    </w:p>
    <w:p>
      <w:pPr>
        <w:spacing w:after="120"/>
      </w:pPr>
      <w:r>
        <w:rPr>
          <w:b w:val="0"/>
          <w:i w:val="0"/>
          <w:color w:val="475467"/>
          <w:sz w:val="21"/>
        </w:rPr>
        <w:t>The complete lifecycle below is the daily unified screening run (weekly-adverse-media.yml, 'RUN_MODE: unified', cron 00:07 UTC — delivered by 09:00 UAE), with the Advisor Q&amp;A loop following the same shape interactively. Each stage lists what actually happens in code.</w:t>
      </w:r>
    </w:p>
    <w:p>
      <w:pPr>
        <w:jc w:val="center"/>
        <w:keepNext/>
      </w:pPr>
      <w:r>
        <w:drawing>
          <wp:inline xmlns:a="http://schemas.openxmlformats.org/drawingml/2006/main" xmlns:pic="http://schemas.openxmlformats.org/drawingml/2006/picture">
            <wp:extent cx="5903999" cy="10813640"/>
            <wp:docPr id="2" name="Picture 2"/>
            <wp:cNvGraphicFramePr>
              <a:graphicFrameLocks noChangeAspect="1"/>
            </wp:cNvGraphicFramePr>
            <a:graphic>
              <a:graphicData uri="http://schemas.openxmlformats.org/drawingml/2006/picture">
                <pic:pic>
                  <pic:nvPicPr>
                    <pic:cNvPr id="0" name="d2-ai-workflow.png"/>
                    <pic:cNvPicPr/>
                  </pic:nvPicPr>
                  <pic:blipFill>
                    <a:blip r:embed="rId11"/>
                    <a:stretch>
                      <a:fillRect/>
                    </a:stretch>
                  </pic:blipFill>
                  <pic:spPr>
                    <a:xfrm>
                      <a:off x="0" y="0"/>
                      <a:ext cx="5903999" cy="10813640"/>
                    </a:xfrm>
                    <a:prstGeom prst="rect"/>
                  </pic:spPr>
                </pic:pic>
              </a:graphicData>
            </a:graphic>
          </wp:inline>
        </w:drawing>
      </w:r>
    </w:p>
    <w:p>
      <w:pPr>
        <w:spacing w:after="200"/>
        <w:jc w:val="center"/>
      </w:pPr>
      <w:r>
        <w:rPr>
          <w:b/>
          <w:i w:val="0"/>
          <w:color w:val="101828"/>
          <w:sz w:val="18"/>
        </w:rPr>
        <w:t>Figure 2 — The nine-stage AI lifecycle as implemented by the daily unified run</w:t>
      </w:r>
    </w:p>
    <w:p>
      <w:pPr>
        <w:pStyle w:val="Heading3"/>
        <w:keepNext/>
      </w:pPr>
      <w:r>
        <w:rPr>
          <w:b/>
          <w:color w:val="BE185D"/>
        </w:rPr>
        <w:t>1 · User input</w:t>
      </w:r>
    </w:p>
    <w:p>
      <w:pPr>
        <w:spacing w:after="120"/>
      </w:pPr>
      <w:r>
        <w:rPr>
          <w:b w:val="0"/>
          <w:i w:val="0"/>
          <w:color w:val="475467"/>
          <w:sz w:val="20"/>
        </w:rPr>
        <w:t>The firm's Customer Database Asana project is the book of record: every active counterparty task, including its structured COMPLIANCE ASSESSMENT note (identity, owners, directors, UBOs). Interactive inputs: analyst form entries in the assessment app; MLRO questions in the Advisor (4,000-character cap). Evidence: screen.py get_all_customers(); kyc.parse_customer(); brain-soul.js input validation.</w:t>
      </w:r>
    </w:p>
    <w:p>
      <w:pPr>
        <w:pStyle w:val="Heading3"/>
        <w:keepNext/>
      </w:pPr>
      <w:r>
        <w:rPr>
          <w:b/>
          <w:color w:val="BE185D"/>
        </w:rPr>
        <w:t>2 · Data collection</w:t>
      </w:r>
    </w:p>
    <w:p>
      <w:pPr>
        <w:spacing w:after="120"/>
      </w:pPr>
      <w:r>
        <w:rPr>
          <w:b w:val="0"/>
          <w:i w:val="0"/>
          <w:color w:val="475467"/>
          <w:sz w:val="20"/>
        </w:rPr>
        <w:t>Live fetch of OFAC SDN (+ alias file), UN Consolidated, UK OFSI, EU FSF, UAE EOCN Local Terrorist List (maintained in-repo), Canada SEMA (supplementary); Google News RSS across the configured locales plus a targeted risk-term query and an Arabic risk pass; GDELT global index (12-month window); OpenSanctions crime watchlist and PEP mirror; Wikidata entity lookups. Mirror fallbacks activate on official-endpoint failure and are provenance-marked. Evidence: screen.py load_all_lists(), search_adverse_media(), check_pep().</w:t>
      </w:r>
    </w:p>
    <w:p>
      <w:pPr>
        <w:pStyle w:val="Heading3"/>
        <w:keepNext/>
      </w:pPr>
      <w:r>
        <w:rPr>
          <w:b/>
          <w:color w:val="BE185D"/>
        </w:rPr>
        <w:t>3 · Preprocessing</w:t>
      </w:r>
    </w:p>
    <w:p>
      <w:pPr>
        <w:spacing w:after="120"/>
      </w:pPr>
      <w:r>
        <w:rPr>
          <w:b w:val="0"/>
          <w:i w:val="0"/>
          <w:color w:val="475467"/>
          <w:sz w:val="20"/>
        </w:rPr>
        <w:t>Unicode normalisation (NFD fold, Arabic alef/hamza folding, Turkish dotless-ı handling); stopword stripping of legal boilerplate for the comparison core; transliteration variant generation (up to 12 per name); adverse text sanitised — control characters stripped, length-capped, wrapped as &lt;&lt;UNTRUSTED&gt;&gt;, screened against ~40 injection markers. Injection-flagged items are barred from any model call. Evidence: screen.py normalize(), core_tokens(); ai.py name_variants(), _sanitize_untrusted(), detect_injection().</w:t>
      </w:r>
    </w:p>
    <w:p>
      <w:pPr>
        <w:pStyle w:val="Heading3"/>
        <w:keepNext/>
      </w:pPr>
      <w:r>
        <w:rPr>
          <w:b/>
          <w:color w:val="BE185D"/>
        </w:rPr>
        <w:t>4 · AI processing</w:t>
      </w:r>
    </w:p>
    <w:p>
      <w:pPr>
        <w:spacing w:after="120"/>
      </w:pPr>
      <w:r>
        <w:rPr>
          <w:b w:val="0"/>
          <w:i w:val="0"/>
          <w:color w:val="475467"/>
          <w:sz w:val="20"/>
        </w:rPr>
        <w:t>Composite fuzzy matching with the min(full, core) false-positive guard and tiered thresholds; 50% ownership/control linkage; multilingual keyword and typology classification; duplicate merging; PEP role classification; deterministic severity/relevance/confidence triage per article — optionally sharpened by claude-haiku (LLM_TRIAGE=1), clamped so the model can raise but never downgrade severity. Evidence: screen.py match_score(), screen_name(); ai.py triage_adverse().</w:t>
      </w:r>
    </w:p>
    <w:p>
      <w:pPr>
        <w:pStyle w:val="Heading3"/>
        <w:keepNext/>
      </w:pPr>
      <w:r>
        <w:rPr>
          <w:b/>
          <w:color w:val="BE185D"/>
        </w:rPr>
        <w:t>5 · Decision support</w:t>
      </w:r>
    </w:p>
    <w:p>
      <w:pPr>
        <w:spacing w:after="120"/>
      </w:pPr>
      <w:r>
        <w:rPr>
          <w:b w:val="0"/>
          <w:i w:val="0"/>
          <w:color w:val="475467"/>
          <w:sz w:val="20"/>
        </w:rPr>
        <w:t>Explainable Low/Medium/High rating per flagged customer with the driving factors listed; related-party clusters; 'why flagged / what to check' note per alert; delta classification marks every item NEW or standing. Evidence: ai.py compute_risk_rating(), related_parties(), alert_summary(); screen.py classify_deltas().</w:t>
      </w:r>
    </w:p>
    <w:p>
      <w:pPr>
        <w:pStyle w:val="Heading3"/>
        <w:keepNext/>
      </w:pPr>
      <w:r>
        <w:rPr>
          <w:b/>
          <w:color w:val="BE185D"/>
        </w:rPr>
        <w:t>6 · Compliance recommendation</w:t>
      </w:r>
    </w:p>
    <w:p>
      <w:pPr>
        <w:spacing w:after="120"/>
      </w:pPr>
      <w:r>
        <w:rPr>
          <w:b w:val="0"/>
          <w:i w:val="0"/>
          <w:color w:val="475467"/>
          <w:sz w:val="20"/>
        </w:rPr>
        <w:t>EDD cadence per rating (HIGH → EDD + senior sign-off, 6-month review); recommended next checks; a goAML-aligned STR/SAR draft attached to HIGH-risk/confirmed cases — stamped as a draft the MLRO must verify, complete and file. Nothing is decided by the system. Evidence: ai.py compute_risk_rating() 'edd', draft_str(); str_dossier.py.</w:t>
      </w:r>
    </w:p>
    <w:p>
      <w:pPr>
        <w:pStyle w:val="Heading3"/>
        <w:keepNext/>
      </w:pPr>
      <w:r>
        <w:rPr>
          <w:b/>
          <w:color w:val="BE185D"/>
        </w:rPr>
        <w:t>7 · Human review</w:t>
      </w:r>
    </w:p>
    <w:p>
      <w:pPr>
        <w:spacing w:after="120"/>
      </w:pPr>
      <w:r>
        <w:rPr>
          <w:b w:val="0"/>
          <w:i w:val="0"/>
          <w:color w:val="475467"/>
          <w:sz w:val="20"/>
        </w:rPr>
        <w:t>One MLRO-ready unified report task posts to Asana; each NEW item opens an assigned case subtask with a disposition checklist ('Do not tip off — Cabinet Resolution 74/2020 applies'); confirmed-hit comments demand four-eyes review under UAE FDL 10/2025 / FATF R.26. In the app, EDD escalations and analyst overrides require justifications; the override is a one-way ratchet. Evidence: screen.py open_mlro_cases(), post_confirmed_hit_comment(); app.js.</w:t>
      </w:r>
    </w:p>
    <w:p>
      <w:pPr>
        <w:pStyle w:val="Heading3"/>
        <w:keepNext/>
      </w:pPr>
      <w:r>
        <w:rPr>
          <w:b/>
          <w:color w:val="BE185D"/>
        </w:rPr>
        <w:t>8 · Audit trail</w:t>
      </w:r>
    </w:p>
    <w:p>
      <w:pPr>
        <w:spacing w:after="120"/>
      </w:pPr>
      <w:r>
        <w:rPr>
          <w:b w:val="0"/>
          <w:i w:val="0"/>
          <w:color w:val="475467"/>
          <w:sz w:val="20"/>
        </w:rPr>
        <w:t>Report sections ⑥/⑦ print the agent action log, QA-gate result, credential-scoping summary and governance attestation on every run; the Advisor emits a per-call audit line (timestamp, model, hash, guard flags, quality score, 'decision support, not a decision'); the device app keeps a SHA-256 hash-chained activity log; retention posture is 10 years across Asana and GitHub Actions. Evidence: agents.py build_audit_section(), build_attestation(); brain-soul.js auditLine; index.html.</w:t>
      </w:r>
    </w:p>
    <w:p>
      <w:pPr>
        <w:pStyle w:val="Heading3"/>
        <w:keepNext/>
      </w:pPr>
      <w:r>
        <w:rPr>
          <w:b/>
          <w:color w:val="BE185D"/>
        </w:rPr>
        <w:t>9 · Continuous adaptation (state, not model training)</w:t>
      </w:r>
    </w:p>
    <w:p>
      <w:pPr>
        <w:spacing w:after="120"/>
      </w:pPr>
      <w:r>
        <w:rPr>
          <w:b w:val="0"/>
          <w:i w:val="0"/>
          <w:color w:val="475467"/>
          <w:sz w:val="20"/>
        </w:rPr>
        <w:t>No model weights are trained. Four deterministic mechanisms carry knowledge across runs: delta fingerprints (400-day retention, only committed after confirmed delivery); the adverse-media evidence log with 3-hits-in-90-days pattern escalation; monitoring baselines (trailing medians) for drift detection; and a learned Asana delivery budget that re-probes weekly. Assurance loops close the cycle: CI bias parity and red-team suites on every push, weekly Advisor evals, monthly FATF watchdog. Evidence: screen.py delta state; monitoring.py; test/bias_eval.py, test/redteam_injection.py.</w:t>
      </w:r>
    </w:p>
    <w:tbl>
      <w:tblPr>
        <w:tblW w:type="auto" w:w="0"/>
        <w:jc w:val="center"/>
        <w:tblLook w:firstColumn="1" w:firstRow="1" w:lastColumn="0" w:lastRow="0" w:noHBand="0" w:noVBand="1" w:val="04A0"/>
      </w:tblPr>
      <w:tblGrid>
        <w:gridCol w:w="9412"/>
      </w:tblGrid>
      <w:tr>
        <w:tc>
          <w:tcPr>
            <w:tcW w:type="dxa" w:w="9411"/>
            <w:shd w:val="clear" w:fill="E8F0FE"/>
            <w:tcBorders>
              <w:left w:val="single" w:sz="24" w:color="1D4ED8"/>
              <w:top w:val="single" w:sz="2" w:color="E8F0FE"/>
              <w:bottom w:val="single" w:sz="2" w:color="E8F0FE"/>
              <w:right w:val="single" w:sz="2" w:color="E8F0FE"/>
            </w:tcBorders>
          </w:tcPr>
          <w:p>
            <w:pPr>
              <w:spacing w:before="40" w:after="40"/>
            </w:pPr>
            <w:r>
              <w:rPr>
                <w:b/>
                <w:color w:val="101828"/>
                <w:sz w:val="20"/>
              </w:rPr>
              <w:t>POWERPOINT GRAPHIC — SLIDE 8</w:t>
              <w:br/>
            </w:r>
            <w:r>
              <w:rPr>
                <w:color w:val="475467"/>
                <w:sz w:val="20"/>
              </w:rPr>
              <w:t>Suggested slide graphic: the Figure 2 pipeline as a horizontal nine-chevron flow, with stages 4–6 tinted (AI), stage 7 in a distinct human colour with an MLRO icon, and stages 8–9 as a feedback band returning to stage 2. Voice-over line: 'the model can make the analyst faster — it cannot make the decision.'</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05   </w:t>
      </w:r>
      <w:r>
        <w:rPr>
          <w:rFonts w:ascii="Calibri" w:hAnsi="Calibri"/>
          <w:b/>
          <w:color w:val="101828"/>
          <w:sz w:val="34"/>
        </w:rPr>
        <w:t>AI Capabilities — What Exists in the Code</w:t>
      </w:r>
    </w:p>
    <w:p>
      <w:pPr>
        <w:spacing w:after="200"/>
      </w:pPr>
      <w:r>
        <w:rPr>
          <w:b w:val="0"/>
          <w:i/>
          <w:color w:val="BE185D"/>
          <w:sz w:val="18"/>
        </w:rPr>
        <w:t>Maps to Slide 9 · Key message: capability claims are stated with the same discipline the platform demands of its own AI — presence declared with evidence, absence declared explicitly.</w:t>
      </w:r>
    </w:p>
    <w:p>
      <w:pPr>
        <w:spacing w:after="120"/>
      </w:pPr>
      <w:r>
        <w:rPr>
          <w:b w:val="0"/>
          <w:i w:val="0"/>
          <w:color w:val="475467"/>
          <w:sz w:val="21"/>
        </w:rPr>
        <w:t>The requested capability checklist is answered against the source code. Nothing below is aspirational; the right-hand column names the implementing artifact. Capabilities that do NOT exist are listed separately — exactly the declaration discipline (P7: 'no clean result without scope') the platform's own charter enforces.</w:t>
      </w:r>
    </w:p>
    <w:p>
      <w:pPr>
        <w:pStyle w:val="Heading2"/>
        <w:keepNext/>
      </w:pPr>
      <w:r>
        <w:rPr>
          <w:b/>
          <w:color w:val="BE185D"/>
        </w:rPr>
        <w:t xml:space="preserve">5.1  </w:t>
      </w:r>
      <w:r>
        <w:rPr>
          <w:b/>
          <w:color w:val="101828"/>
        </w:rPr>
        <w:t>Capabilities present in the repository</w:t>
      </w:r>
    </w:p>
    <w:p>
      <w:pPr>
        <w:spacing w:after="60"/>
        <w:keepNext/>
      </w:pPr>
      <w:r>
        <w:rPr>
          <w:b/>
          <w:i w:val="0"/>
          <w:color w:val="101828"/>
          <w:sz w:val="18"/>
        </w:rPr>
        <w:t>Table 7 — Capabilities present, with the implementing artifact</w:t>
      </w:r>
    </w:p>
    <w:tbl>
      <w:tblPr>
        <w:tblW w:type="auto" w:w="0"/>
        <w:jc w:val="center"/>
        <w:tblLayout w:type="fixed"/>
        <w:tblLook w:firstColumn="1" w:firstRow="1" w:lastColumn="0" w:lastRow="0" w:noHBand="0" w:noVBand="1" w:val="04A0"/>
      </w:tblPr>
      <w:tblGrid>
        <w:gridCol w:w="3137"/>
        <w:gridCol w:w="3137"/>
        <w:gridCol w:w="3137"/>
      </w:tblGrid>
      <w:tr>
        <w:tc>
          <w:tcPr>
            <w:tcW w:type="dxa" w:w="187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Capability</w:t>
            </w:r>
          </w:p>
        </w:tc>
        <w:tc>
          <w:tcPr>
            <w:tcW w:type="dxa" w:w="4819"/>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How it exists here</w:t>
            </w:r>
          </w:p>
        </w:tc>
        <w:tc>
          <w:tcPr>
            <w:tcW w:type="dxa" w:w="272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Evidence</w:t>
            </w:r>
          </w:p>
        </w:tc>
      </w:tr>
      <w:tr>
        <w:tc>
          <w:tcPr>
            <w:tcW w:type="dxa" w:w="1871"/>
            <w:tcBorders>
              <w:top w:val="single" w:sz="4" w:color="D0D5DD"/>
              <w:bottom w:val="single" w:sz="4" w:color="D0D5DD"/>
              <w:left w:val="single" w:sz="4" w:color="D0D5DD"/>
              <w:right w:val="single" w:sz="4" w:color="D0D5DD"/>
            </w:tcBorders>
          </w:tcPr>
          <w:p>
            <w:pPr>
              <w:spacing w:before="20" w:after="20"/>
            </w:pPr>
            <w:r>
              <w:rPr>
                <w:b/>
                <w:i w:val="0"/>
                <w:color w:val="101828"/>
                <w:sz w:val="17"/>
              </w:rPr>
              <w:t>Entity extraction</w:t>
            </w:r>
          </w:p>
        </w:tc>
        <w:tc>
          <w:tcPr>
            <w:tcW w:type="dxa" w:w="4819"/>
            <w:tcBorders>
              <w:top w:val="single" w:sz="4" w:color="D0D5DD"/>
              <w:bottom w:val="single" w:sz="4" w:color="D0D5DD"/>
              <w:left w:val="single" w:sz="4" w:color="D0D5DD"/>
              <w:right w:val="single" w:sz="4" w:color="D0D5DD"/>
            </w:tcBorders>
          </w:tcPr>
          <w:p>
            <w:pPr>
              <w:spacing w:before="20" w:after="20"/>
            </w:pPr>
            <w:r>
              <w:rPr>
                <w:color w:val="475467"/>
                <w:sz w:val="17"/>
              </w:rPr>
              <w:t>Deterministic parsing of structured customer records: principals, owners, directors, UBOs, ID documents, legal-arrangement roles (trustee, settlor, beneficiary…); corporate-owner extraction for control screening</w:t>
            </w:r>
          </w:p>
        </w:tc>
        <w:tc>
          <w:tcPr>
            <w:tcW w:type="dxa" w:w="272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kyc.py parse_customer(); screen.py extract_individuals(), extract_entity_owners()</w:t>
            </w:r>
          </w:p>
        </w:tc>
      </w:tr>
      <w:tr>
        <w:tc>
          <w:tcPr>
            <w:tcW w:type="dxa" w:w="187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Natural Language Processing</w:t>
            </w:r>
          </w:p>
        </w:tc>
        <w:tc>
          <w:tcPr>
            <w:tcW w:type="dxa" w:w="4819"/>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Applied NLP without neural models: Unicode/Arabic normalisation, multilingual adverse keyword matching (~130 English terms + Arabic + 18-language sets), typology classification into 10 buckets, duplicate story merging (0.6 token overlap), name tokenisation</w:t>
            </w:r>
          </w:p>
        </w:tc>
        <w:tc>
          <w:tcPr>
            <w:tcW w:type="dxa" w:w="272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screen.py match_adverse_keywords(), typology_for(), dedup_stories()</w:t>
            </w:r>
          </w:p>
        </w:tc>
      </w:tr>
      <w:tr>
        <w:tc>
          <w:tcPr>
            <w:tcW w:type="dxa" w:w="1871"/>
            <w:tcBorders>
              <w:top w:val="single" w:sz="4" w:color="D0D5DD"/>
              <w:bottom w:val="single" w:sz="4" w:color="D0D5DD"/>
              <w:left w:val="single" w:sz="4" w:color="D0D5DD"/>
              <w:right w:val="single" w:sz="4" w:color="D0D5DD"/>
            </w:tcBorders>
          </w:tcPr>
          <w:p>
            <w:pPr>
              <w:spacing w:before="20" w:after="20"/>
            </w:pPr>
            <w:r>
              <w:rPr>
                <w:b/>
                <w:i w:val="0"/>
                <w:color w:val="101828"/>
                <w:sz w:val="17"/>
              </w:rPr>
              <w:t>LLM reasoning (generative AI)</w:t>
            </w:r>
          </w:p>
        </w:tc>
        <w:tc>
          <w:tcPr>
            <w:tcW w:type="dxa" w:w="4819"/>
            <w:tcBorders>
              <w:top w:val="single" w:sz="4" w:color="D0D5DD"/>
              <w:bottom w:val="single" w:sz="4" w:color="D0D5DD"/>
              <w:left w:val="single" w:sz="4" w:color="D0D5DD"/>
              <w:right w:val="single" w:sz="4" w:color="D0D5DD"/>
            </w:tcBorders>
          </w:tcPr>
          <w:p>
            <w:pPr>
              <w:spacing w:before="20" w:after="20"/>
            </w:pPr>
            <w:r>
              <w:rPr>
                <w:color w:val="475467"/>
                <w:sz w:val="17"/>
              </w:rPr>
              <w:t>Live in the Advisor: three-tier Claude reasoning under a 10-prohibition charter with mandatory structure (scope → findings → gaps → next steps); 'deep' mode explicitly instructs counterargument steelmanning and pre-mortem analysis</w:t>
            </w:r>
          </w:p>
        </w:tc>
        <w:tc>
          <w:tcPr>
            <w:tcW w:type="dxa" w:w="272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netlify/functions/brain-soul.js (haiku-4-5 / sonnet-4-6 / opus-4-8)</w:t>
            </w:r>
          </w:p>
        </w:tc>
      </w:tr>
      <w:tr>
        <w:tc>
          <w:tcPr>
            <w:tcW w:type="dxa" w:w="187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Classification</w:t>
            </w:r>
          </w:p>
        </w:tc>
        <w:tc>
          <w:tcPr>
            <w:tcW w:type="dxa" w:w="4819"/>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Grounded LLM classification of real headlines (is_about_subject / is_adverse / severity) — implemented, fail-closed off in production pending the Anthropic DPA; deterministic severity/relevance/confidence triage always on</w:t>
            </w:r>
          </w:p>
        </w:tc>
        <w:tc>
          <w:tcPr>
            <w:tcW w:type="dxa" w:w="272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ai.py triage_adverse(); LLM_TRIAGE gate</w:t>
            </w:r>
          </w:p>
        </w:tc>
      </w:tr>
      <w:tr>
        <w:tc>
          <w:tcPr>
            <w:tcW w:type="dxa" w:w="1871"/>
            <w:tcBorders>
              <w:top w:val="single" w:sz="4" w:color="D0D5DD"/>
              <w:bottom w:val="single" w:sz="4" w:color="D0D5DD"/>
              <w:left w:val="single" w:sz="4" w:color="D0D5DD"/>
              <w:right w:val="single" w:sz="4" w:color="D0D5DD"/>
            </w:tcBorders>
          </w:tcPr>
          <w:p>
            <w:pPr>
              <w:spacing w:before="20" w:after="20"/>
            </w:pPr>
            <w:r>
              <w:rPr>
                <w:b/>
                <w:i w:val="0"/>
                <w:color w:val="101828"/>
                <w:sz w:val="17"/>
              </w:rPr>
              <w:t>Risk scoring</w:t>
            </w:r>
          </w:p>
        </w:tc>
        <w:tc>
          <w:tcPr>
            <w:tcW w:type="dxa" w:w="4819"/>
            <w:tcBorders>
              <w:top w:val="single" w:sz="4" w:color="D0D5DD"/>
              <w:bottom w:val="single" w:sz="4" w:color="D0D5DD"/>
              <w:left w:val="single" w:sz="4" w:color="D0D5DD"/>
              <w:right w:val="single" w:sz="4" w:color="D0D5DD"/>
            </w:tcBorders>
          </w:tcPr>
          <w:p>
            <w:pPr>
              <w:spacing w:before="20" w:after="20"/>
            </w:pPr>
            <w:r>
              <w:rPr>
                <w:color w:val="475467"/>
                <w:sz w:val="17"/>
              </w:rPr>
              <w:t>Two explainable engines: the 0–30 on-device assessment score with CDD/SDD/EDD bands and hard outcomes; the screening-side Low/Medium/High rating with printed factors and EDD cadence</w:t>
            </w:r>
          </w:p>
        </w:tc>
        <w:tc>
          <w:tcPr>
            <w:tcW w:type="dxa" w:w="272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app.js scoring engine; ai.py compute_risk_rating()</w:t>
            </w:r>
          </w:p>
        </w:tc>
      </w:tr>
      <w:tr>
        <w:tc>
          <w:tcPr>
            <w:tcW w:type="dxa" w:w="187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Similarity search (fuzzy matching)</w:t>
            </w:r>
          </w:p>
        </w:tc>
        <w:tc>
          <w:tcPr>
            <w:tcW w:type="dxa" w:w="4819"/>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rapidfuzz Levenshtein-family token ratios with a composite min(full, core) score, tiered thresholds (85/82/97/93) and confidence tiers — the platform's core matching intelligence</w:t>
            </w:r>
          </w:p>
        </w:tc>
        <w:tc>
          <w:tcPr>
            <w:tcW w:type="dxa" w:w="272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screen.py match_score(), screen_name(), confidence_tier()</w:t>
            </w:r>
          </w:p>
        </w:tc>
      </w:tr>
      <w:tr>
        <w:tc>
          <w:tcPr>
            <w:tcW w:type="dxa" w:w="1871"/>
            <w:tcBorders>
              <w:top w:val="single" w:sz="4" w:color="D0D5DD"/>
              <w:bottom w:val="single" w:sz="4" w:color="D0D5DD"/>
              <w:left w:val="single" w:sz="4" w:color="D0D5DD"/>
              <w:right w:val="single" w:sz="4" w:color="D0D5DD"/>
            </w:tcBorders>
          </w:tcPr>
          <w:p>
            <w:pPr>
              <w:spacing w:before="20" w:after="20"/>
            </w:pPr>
            <w:r>
              <w:rPr>
                <w:b/>
                <w:i w:val="0"/>
                <w:color w:val="101828"/>
                <w:sz w:val="17"/>
              </w:rPr>
              <w:t>Case prioritization</w:t>
            </w:r>
          </w:p>
        </w:tc>
        <w:tc>
          <w:tcPr>
            <w:tcW w:type="dxa" w:w="4819"/>
            <w:tcBorders>
              <w:top w:val="single" w:sz="4" w:color="D0D5DD"/>
              <w:bottom w:val="single" w:sz="4" w:color="D0D5DD"/>
              <w:left w:val="single" w:sz="4" w:color="D0D5DD"/>
              <w:right w:val="single" w:sz="4" w:color="D0D5DD"/>
            </w:tcBorders>
          </w:tcPr>
          <w:p>
            <w:pPr>
              <w:spacing w:before="20" w:after="20"/>
            </w:pPr>
            <w:r>
              <w:rPr>
                <w:color w:val="475467"/>
                <w:sz w:val="17"/>
              </w:rPr>
              <w:t>NEW-first delta ordering; severity-ranked adverse triage; priority-ordered case subtask creation (sanctions → PEP → adverse); repeat-pattern escalation (3 distinct stories / 90 days)</w:t>
            </w:r>
          </w:p>
        </w:tc>
        <w:tc>
          <w:tcPr>
            <w:tcW w:type="dxa" w:w="272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screen.py classify_deltas(), open_mlro_cases(), evidence log</w:t>
            </w:r>
          </w:p>
        </w:tc>
      </w:tr>
      <w:tr>
        <w:tc>
          <w:tcPr>
            <w:tcW w:type="dxa" w:w="187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Recommendation engine (decision support)</w:t>
            </w:r>
          </w:p>
        </w:tc>
        <w:tc>
          <w:tcPr>
            <w:tcW w:type="dxa" w:w="4819"/>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EDD cadence per rating; 'single most important next check' per alert; recommended-steps sections mandated in every Advisor answer; 187 deterministic playbook 'super tools'</w:t>
            </w:r>
          </w:p>
        </w:tc>
        <w:tc>
          <w:tcPr>
            <w:tcW w:type="dxa" w:w="272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ai.py alert_summary(), compute_risk_rating(); assets/super-data.js</w:t>
            </w:r>
          </w:p>
        </w:tc>
      </w:tr>
      <w:tr>
        <w:tc>
          <w:tcPr>
            <w:tcW w:type="dxa" w:w="1871"/>
            <w:tcBorders>
              <w:top w:val="single" w:sz="4" w:color="D0D5DD"/>
              <w:bottom w:val="single" w:sz="4" w:color="D0D5DD"/>
              <w:left w:val="single" w:sz="4" w:color="D0D5DD"/>
              <w:right w:val="single" w:sz="4" w:color="D0D5DD"/>
            </w:tcBorders>
          </w:tcPr>
          <w:p>
            <w:pPr>
              <w:spacing w:before="20" w:after="20"/>
            </w:pPr>
            <w:r>
              <w:rPr>
                <w:b/>
                <w:i w:val="0"/>
                <w:color w:val="101828"/>
                <w:sz w:val="17"/>
              </w:rPr>
              <w:t>Knowledge retrieval</w:t>
            </w:r>
          </w:p>
        </w:tc>
        <w:tc>
          <w:tcPr>
            <w:tcW w:type="dxa" w:w="4819"/>
            <w:tcBorders>
              <w:top w:val="single" w:sz="4" w:color="D0D5DD"/>
              <w:bottom w:val="single" w:sz="4" w:color="D0D5DD"/>
              <w:left w:val="single" w:sz="4" w:color="D0D5DD"/>
              <w:right w:val="single" w:sz="4" w:color="D0D5DD"/>
            </w:tcBorders>
          </w:tcPr>
          <w:p>
            <w:pPr>
              <w:spacing w:before="20" w:after="20"/>
            </w:pPr>
            <w:r>
              <w:rPr>
                <w:color w:val="475467"/>
                <w:sz w:val="17"/>
              </w:rPr>
              <w:t>Curated, cited knowledge bases: 350-question regulatory Q&amp;A with legal references; 50 typologies, 39 red flags, 22 KRIs embedded into the Advisor's system prompt as grounded context</w:t>
            </w:r>
          </w:p>
        </w:tc>
        <w:tc>
          <w:tcPr>
            <w:tcW w:type="dxa" w:w="272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assets/super-data.js; brain-soul.js KNOWLEDGE_CONTEXT</w:t>
            </w:r>
          </w:p>
        </w:tc>
      </w:tr>
      <w:tr>
        <w:tc>
          <w:tcPr>
            <w:tcW w:type="dxa" w:w="187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Pattern detection</w:t>
            </w:r>
          </w:p>
        </w:tc>
        <w:tc>
          <w:tcPr>
            <w:tcW w:type="dxa" w:w="4819"/>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Transaction typology rules (structuring bands, velocity ×4, round-amount cash, rapid pass-through); adverse repeat patterns; related-party graph clusters; anomaly heuristics on model output</w:t>
            </w:r>
          </w:p>
        </w:tc>
        <w:tc>
          <w:tcPr>
            <w:tcW w:type="dxa" w:w="272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txn_monitor.py 7 rules; ai.py related_parties(); brain-soul.js anomalyGuard()</w:t>
            </w:r>
          </w:p>
        </w:tc>
      </w:tr>
      <w:tr>
        <w:tc>
          <w:tcPr>
            <w:tcW w:type="dxa" w:w="1871"/>
            <w:tcBorders>
              <w:top w:val="single" w:sz="4" w:color="D0D5DD"/>
              <w:bottom w:val="single" w:sz="4" w:color="D0D5DD"/>
              <w:left w:val="single" w:sz="4" w:color="D0D5DD"/>
              <w:right w:val="single" w:sz="4" w:color="D0D5DD"/>
            </w:tcBorders>
          </w:tcPr>
          <w:p>
            <w:pPr>
              <w:spacing w:before="20" w:after="20"/>
            </w:pPr>
            <w:r>
              <w:rPr>
                <w:b/>
                <w:i w:val="0"/>
                <w:color w:val="101828"/>
                <w:sz w:val="17"/>
              </w:rPr>
              <w:t>Document understanding (bounded)</w:t>
            </w:r>
          </w:p>
        </w:tc>
        <w:tc>
          <w:tcPr>
            <w:tcW w:type="dxa" w:w="4819"/>
            <w:tcBorders>
              <w:top w:val="single" w:sz="4" w:color="D0D5DD"/>
              <w:bottom w:val="single" w:sz="4" w:color="D0D5DD"/>
              <w:left w:val="single" w:sz="4" w:color="D0D5DD"/>
              <w:right w:val="single" w:sz="4" w:color="D0D5DD"/>
            </w:tcBorders>
          </w:tcPr>
          <w:p>
            <w:pPr>
              <w:spacing w:before="20" w:after="20"/>
            </w:pPr>
            <w:r>
              <w:rPr>
                <w:color w:val="475467"/>
                <w:sz w:val="17"/>
              </w:rPr>
              <w:t>PDF text extraction for the UAE EOCN list fallback (pdfplumber) and structured parsing of five list formats (CSV/XML) with header-drift guards — parsing, not ML document AI</w:t>
            </w:r>
          </w:p>
        </w:tc>
        <w:tc>
          <w:tcPr>
            <w:tcW w:type="dxa" w:w="272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screen.py parse_eocn(), parse_un(), parse_uk(); ci/requirements.txt</w:t>
            </w:r>
          </w:p>
        </w:tc>
      </w:tr>
      <w:tr>
        <w:tc>
          <w:tcPr>
            <w:tcW w:type="dxa" w:w="187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7"/>
              </w:rPr>
              <w:t>Drift &amp; anomaly monitoring (MLOps-style)</w:t>
            </w:r>
          </w:p>
        </w:tc>
        <w:tc>
          <w:tcPr>
            <w:tcW w:type="dxa" w:w="4819"/>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Trailing-median baselines over runs: latency ×3, error rate &gt;10%, coverage drop &gt;20%, adverse-media blackout, staleness heartbeat; sustained anomalies auto-escalate to a GitHub issue</w:t>
            </w:r>
          </w:p>
        </w:tc>
        <w:tc>
          <w:tcPr>
            <w:tcW w:type="dxa" w:w="272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monitoring.py; anomaly-watch.yml</w:t>
            </w:r>
          </w:p>
        </w:tc>
      </w:tr>
    </w:tbl>
    <w:p>
      <w:pPr>
        <w:spacing w:after="40"/>
      </w:pPr>
    </w:p>
    <w:p>
      <w:pPr>
        <w:pStyle w:val="Heading2"/>
        <w:keepNext/>
      </w:pPr>
      <w:r>
        <w:rPr>
          <w:b/>
          <w:color w:val="BE185D"/>
        </w:rPr>
        <w:t xml:space="preserve">5.2  </w:t>
      </w:r>
      <w:r>
        <w:rPr>
          <w:b/>
          <w:color w:val="101828"/>
        </w:rPr>
        <w:t>Capabilities explicitly NOT present (stated to prevent overclaiming)</w:t>
      </w:r>
    </w:p>
    <w:p>
      <w:pPr>
        <w:spacing w:after="60"/>
        <w:keepNext/>
      </w:pPr>
      <w:r>
        <w:rPr>
          <w:b/>
          <w:i w:val="0"/>
          <w:color w:val="101828"/>
          <w:sz w:val="18"/>
        </w:rPr>
        <w:t>Table 8 — Declared absences — the platform's own 'scope and gaps' discipline applied to itself</w:t>
      </w:r>
    </w:p>
    <w:tbl>
      <w:tblPr>
        <w:tblW w:type="auto" w:w="0"/>
        <w:jc w:val="center"/>
        <w:tblLayout w:type="fixed"/>
        <w:tblLook w:firstColumn="1" w:firstRow="1" w:lastColumn="0" w:lastRow="0" w:noHBand="0" w:noVBand="1" w:val="04A0"/>
      </w:tblPr>
      <w:tblGrid>
        <w:gridCol w:w="4706"/>
        <w:gridCol w:w="4706"/>
      </w:tblGrid>
      <w:tr>
        <w:tc>
          <w:tcPr>
            <w:tcW w:type="dxa" w:w="3175"/>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Capability asked about</w:t>
            </w:r>
          </w:p>
        </w:tc>
        <w:tc>
          <w:tcPr>
            <w:tcW w:type="dxa" w:w="6236"/>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Repository finding</w:t>
            </w:r>
          </w:p>
        </w:tc>
      </w:tr>
      <w:tr>
        <w:tc>
          <w:tcPr>
            <w:tcW w:type="dxa" w:w="3175"/>
            <w:tcBorders>
              <w:top w:val="single" w:sz="4" w:color="D0D5DD"/>
              <w:bottom w:val="single" w:sz="4" w:color="D0D5DD"/>
              <w:left w:val="single" w:sz="4" w:color="D0D5DD"/>
              <w:right w:val="single" w:sz="4" w:color="D0D5DD"/>
            </w:tcBorders>
          </w:tcPr>
          <w:p>
            <w:pPr>
              <w:spacing w:before="20" w:after="20"/>
            </w:pPr>
            <w:r>
              <w:rPr>
                <w:color w:val="475467"/>
                <w:sz w:val="19"/>
              </w:rPr>
              <w:t>OCR (optical character recognition)</w:t>
            </w:r>
          </w:p>
        </w:tc>
        <w:tc>
          <w:tcPr>
            <w:tcW w:type="dxa" w:w="6236"/>
            <w:tcBorders>
              <w:top w:val="single" w:sz="4" w:color="D0D5DD"/>
              <w:bottom w:val="single" w:sz="4" w:color="D0D5DD"/>
              <w:left w:val="single" w:sz="4" w:color="D0D5DD"/>
              <w:right w:val="single" w:sz="4" w:color="D0D5DD"/>
            </w:tcBorders>
          </w:tcPr>
          <w:p>
            <w:pPr>
              <w:spacing w:before="20" w:after="20"/>
            </w:pPr>
            <w:r>
              <w:rPr>
                <w:color w:val="475467"/>
                <w:sz w:val="19"/>
              </w:rPr>
              <w:t>Not present. PDF text extraction exists (pdfplumber for the EOCN list); no image-to-text capability.</w:t>
            </w:r>
          </w:p>
        </w:tc>
      </w:tr>
      <w:tr>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Semantic / vector search · vector database · embeddings / RAG store</w:t>
            </w:r>
          </w:p>
        </w:tc>
        <w:tc>
          <w:tcPr>
            <w:tcW w:type="dxa" w:w="623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Not present. Retrieval is curated and cited (super-data.js) or prompt-embedded; the gap analysis marks vector-DB tiles N/A by design (no backend).</w:t>
            </w:r>
          </w:p>
        </w:tc>
      </w:tr>
      <w:tr>
        <w:tc>
          <w:tcPr>
            <w:tcW w:type="dxa" w:w="3175"/>
            <w:tcBorders>
              <w:top w:val="single" w:sz="4" w:color="D0D5DD"/>
              <w:bottom w:val="single" w:sz="4" w:color="D0D5DD"/>
              <w:left w:val="single" w:sz="4" w:color="D0D5DD"/>
              <w:right w:val="single" w:sz="4" w:color="D0D5DD"/>
            </w:tcBorders>
          </w:tcPr>
          <w:p>
            <w:pPr>
              <w:spacing w:before="20" w:after="20"/>
            </w:pPr>
            <w:r>
              <w:rPr>
                <w:color w:val="475467"/>
                <w:sz w:val="19"/>
              </w:rPr>
              <w:t>Clustering (unsupervised ML)</w:t>
            </w:r>
          </w:p>
        </w:tc>
        <w:tc>
          <w:tcPr>
            <w:tcW w:type="dxa" w:w="6236"/>
            <w:tcBorders>
              <w:top w:val="single" w:sz="4" w:color="D0D5DD"/>
              <w:bottom w:val="single" w:sz="4" w:color="D0D5DD"/>
              <w:left w:val="single" w:sz="4" w:color="D0D5DD"/>
              <w:right w:val="single" w:sz="4" w:color="D0D5DD"/>
            </w:tcBorders>
          </w:tcPr>
          <w:p>
            <w:pPr>
              <w:spacing w:before="20" w:after="20"/>
            </w:pPr>
            <w:r>
              <w:rPr>
                <w:color w:val="475467"/>
                <w:sz w:val="19"/>
              </w:rPr>
              <w:t>Not present as ML. Related-party 'clusters' are deterministic graph groupings, not learned clusters.</w:t>
            </w:r>
          </w:p>
        </w:tc>
      </w:tr>
      <w:tr>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Predictive analytics / model training</w:t>
            </w:r>
          </w:p>
        </w:tc>
        <w:tc>
          <w:tcPr>
            <w:tcW w:type="dxa" w:w="6236"/>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Not present. No training pipeline, no learned weights; adaptation is deterministic state carried across runs (delta fingerprints, medians, learned delivery budget).</w:t>
            </w:r>
          </w:p>
        </w:tc>
      </w:tr>
      <w:tr>
        <w:tc>
          <w:tcPr>
            <w:tcW w:type="dxa" w:w="3175"/>
            <w:tcBorders>
              <w:top w:val="single" w:sz="4" w:color="D0D5DD"/>
              <w:bottom w:val="single" w:sz="4" w:color="D0D5DD"/>
              <w:left w:val="single" w:sz="4" w:color="D0D5DD"/>
              <w:right w:val="single" w:sz="4" w:color="D0D5DD"/>
            </w:tcBorders>
          </w:tcPr>
          <w:p>
            <w:pPr>
              <w:spacing w:before="20" w:after="20"/>
            </w:pPr>
            <w:r>
              <w:rPr>
                <w:color w:val="475467"/>
                <w:sz w:val="19"/>
              </w:rPr>
              <w:t>ML libraries of any kind</w:t>
            </w:r>
          </w:p>
        </w:tc>
        <w:tc>
          <w:tcPr>
            <w:tcW w:type="dxa" w:w="6236"/>
            <w:tcBorders>
              <w:top w:val="single" w:sz="4" w:color="D0D5DD"/>
              <w:bottom w:val="single" w:sz="4" w:color="D0D5DD"/>
              <w:left w:val="single" w:sz="4" w:color="D0D5DD"/>
              <w:right w:val="single" w:sz="4" w:color="D0D5DD"/>
            </w:tcBorders>
          </w:tcPr>
          <w:p>
            <w:pPr>
              <w:spacing w:before="20" w:after="20"/>
            </w:pPr>
            <w:r>
              <w:rPr>
                <w:color w:val="475467"/>
                <w:sz w:val="19"/>
              </w:rPr>
              <w:t>None. Dependency tree (hash-locked ci/requirements.txt) contains no anthropic SDK, numpy, sklearn, torch or similar — the LLM is consumed as an external governed service over HTTPS.</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E7F6EC"/>
            <w:tcBorders>
              <w:left w:val="single" w:sz="24" w:color="047857"/>
              <w:top w:val="single" w:sz="2" w:color="E7F6EC"/>
              <w:bottom w:val="single" w:sz="2" w:color="E7F6EC"/>
              <w:right w:val="single" w:sz="2" w:color="E7F6EC"/>
            </w:tcBorders>
          </w:tcPr>
          <w:p>
            <w:pPr>
              <w:spacing w:before="40" w:after="40"/>
            </w:pPr>
            <w:r>
              <w:rPr>
                <w:b/>
                <w:color w:val="101828"/>
                <w:sz w:val="20"/>
              </w:rPr>
              <w:t>THE ABSENCE STORY</w:t>
              <w:br/>
            </w:r>
            <w:r>
              <w:rPr>
                <w:color w:val="475467"/>
                <w:sz w:val="20"/>
              </w:rPr>
              <w:t>Why declared absence is a strength in the room: when a regulator or client asks 'where is your vector store, and how is it secured?', the answer 'we deliberately do not operate one — here is the signed gap analysis' demonstrates a controlled AI estate. Shadow-AI control: test/ai-assets.test.js fails CI if any code calls api.anthropic.com without being registered in data/ai-assets.json.</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06   </w:t>
      </w:r>
      <w:r>
        <w:rPr>
          <w:rFonts w:ascii="Calibri" w:hAnsi="Calibri"/>
          <w:b/>
          <w:color w:val="101828"/>
          <w:sz w:val="34"/>
        </w:rPr>
        <w:t>Compliance Use Cases</w:t>
      </w:r>
    </w:p>
    <w:p>
      <w:pPr>
        <w:spacing w:after="200"/>
      </w:pPr>
      <w:r>
        <w:rPr>
          <w:b w:val="0"/>
          <w:i/>
          <w:color w:val="BE185D"/>
          <w:sz w:val="18"/>
        </w:rPr>
        <w:t>Maps to Slides 10–11 · Key message: for every daily compliance task, the platform has a concrete assisted workflow — with the analyst's judgment preserved at the decision point.</w:t>
      </w:r>
    </w:p>
    <w:p>
      <w:pPr>
        <w:pStyle w:val="Heading3"/>
        <w:keepNext/>
      </w:pPr>
      <w:r>
        <w:rPr>
          <w:b/>
          <w:color w:val="BE185D"/>
        </w:rPr>
        <w:t>Use case 1 — Customer onboarding</w:t>
      </w:r>
    </w:p>
    <w:p>
      <w:pPr>
        <w:spacing w:after="60"/>
      </w:pPr>
      <w:r>
        <w:rPr>
          <w:b w:val="0"/>
          <w:i w:val="0"/>
          <w:color w:val="475467"/>
          <w:sz w:val="20"/>
        </w:rPr>
        <w:t>A new customer task lands in the Asana Customer Database. Within six hours the onboarding screen (onboarding-screen.yml, RUN_MODE=onboarding, 26-hour window) screens the entity and every recorded principal against all six sanctions lists, adverse media and PEP sources, and posts the result before the relationship is operative. The analyst opens one task with the evidence attached.</w:t>
      </w:r>
    </w:p>
    <w:p>
      <w:pPr>
        <w:spacing w:after="160"/>
      </w:pPr>
      <w:r>
        <w:rPr>
          <w:b/>
          <w:i w:val="0"/>
          <w:color w:val="BE185D"/>
          <w:sz w:val="20"/>
        </w:rPr>
        <w:t xml:space="preserve">Value: </w:t>
      </w:r>
      <w:r>
        <w:rPr>
          <w:b w:val="0"/>
          <w:i w:val="0"/>
          <w:color w:val="475467"/>
          <w:sz w:val="20"/>
        </w:rPr>
        <w:t>Screening latency for new relationships drops from 'next manual review' to a bounded six hours, with a no-silent-failure guarantee.</w:t>
      </w:r>
    </w:p>
    <w:p>
      <w:pPr>
        <w:pStyle w:val="Heading3"/>
        <w:keepNext/>
      </w:pPr>
      <w:r>
        <w:rPr>
          <w:b/>
          <w:color w:val="BE185D"/>
        </w:rPr>
        <w:t>Use case 2 — PEP detection</w:t>
      </w:r>
    </w:p>
    <w:p>
      <w:pPr>
        <w:spacing w:after="60"/>
      </w:pPr>
      <w:r>
        <w:rPr>
          <w:b w:val="0"/>
          <w:i w:val="0"/>
          <w:color w:val="475467"/>
          <w:sz w:val="20"/>
        </w:rPr>
        <w:t>Every individual is auto-checked against Wikidata with role-keyword classification (politician, minister, judge, military, SOE) including relatives and close associates; when Wikidata is unreachable, the OpenSanctions PEP mirror re-covers affected individuals with provenance marked. A PEP finding forces the FATF R.12 EDD action class in the report and +3 in the risk rating.</w:t>
      </w:r>
    </w:p>
    <w:p>
      <w:pPr>
        <w:spacing w:after="160"/>
      </w:pPr>
      <w:r>
        <w:rPr>
          <w:b/>
          <w:i w:val="0"/>
          <w:color w:val="BE185D"/>
          <w:sz w:val="20"/>
        </w:rPr>
        <w:t xml:space="preserve">Value: </w:t>
      </w:r>
      <w:r>
        <w:rPr>
          <w:b w:val="0"/>
          <w:i w:val="0"/>
          <w:color w:val="475467"/>
          <w:sz w:val="20"/>
        </w:rPr>
        <w:t>No firm-maintained PEP list to license or curate; EDD triggers arrive with source records attached.</w:t>
      </w:r>
    </w:p>
    <w:p>
      <w:pPr>
        <w:pStyle w:val="Heading3"/>
        <w:keepNext/>
      </w:pPr>
      <w:r>
        <w:rPr>
          <w:b/>
          <w:color w:val="BE185D"/>
        </w:rPr>
        <w:t>Use case 3 — Sanctions review</w:t>
      </w:r>
    </w:p>
    <w:p>
      <w:pPr>
        <w:spacing w:after="60"/>
      </w:pPr>
      <w:r>
        <w:rPr>
          <w:b w:val="0"/>
          <w:i w:val="0"/>
          <w:color w:val="475467"/>
          <w:sz w:val="20"/>
        </w:rPr>
        <w:t>A candidate match arrives with the matched list entry, score, confidence tier, DOB/nationality adjudication context, and NEW/standing status. Confirmed hits (score 100) trigger an immediate customer-record comment demanding four-eyes review and no-tipping-off handling under Cabinet Resolution 74/2020, plus an MLRO case subtask with a disposition checklist.</w:t>
      </w:r>
    </w:p>
    <w:p>
      <w:pPr>
        <w:spacing w:after="160"/>
      </w:pPr>
      <w:r>
        <w:rPr>
          <w:b/>
          <w:i w:val="0"/>
          <w:color w:val="BE185D"/>
          <w:sz w:val="20"/>
        </w:rPr>
        <w:t xml:space="preserve">Value: </w:t>
      </w:r>
      <w:r>
        <w:rPr>
          <w:b w:val="0"/>
          <w:i w:val="0"/>
          <w:color w:val="475467"/>
          <w:sz w:val="20"/>
        </w:rPr>
        <w:t>Reviewers adjudicate identity, not spreadsheets; the strongest hits cannot sit unnoticed in a queue.</w:t>
      </w:r>
    </w:p>
    <w:p>
      <w:pPr>
        <w:pStyle w:val="Heading3"/>
        <w:keepNext/>
      </w:pPr>
      <w:r>
        <w:rPr>
          <w:b/>
          <w:color w:val="BE185D"/>
        </w:rPr>
        <w:t>Use case 4 — Adverse media investigation</w:t>
      </w:r>
    </w:p>
    <w:p>
      <w:pPr>
        <w:spacing w:after="60"/>
      </w:pPr>
      <w:r>
        <w:rPr>
          <w:b w:val="0"/>
          <w:i w:val="0"/>
          <w:color w:val="475467"/>
          <w:sz w:val="20"/>
        </w:rPr>
        <w:t>Articles arrive deduplicated across outlets, typology-bucketed, severity/relevance/confidence-labelled, each with its real link; a third deterministic net (OpenSanctions crime watchlist) keeps coverage alive when news feeds rate-limit. Repeat exposure (3+ distinct stories in 90 days) is escalated as a pattern.</w:t>
      </w:r>
    </w:p>
    <w:p>
      <w:pPr>
        <w:spacing w:after="160"/>
      </w:pPr>
      <w:r>
        <w:rPr>
          <w:b/>
          <w:i w:val="0"/>
          <w:color w:val="BE185D"/>
          <w:sz w:val="20"/>
        </w:rPr>
        <w:t xml:space="preserve">Value: </w:t>
      </w:r>
      <w:r>
        <w:rPr>
          <w:b w:val="0"/>
          <w:i w:val="0"/>
          <w:color w:val="475467"/>
          <w:sz w:val="20"/>
        </w:rPr>
        <w:t>The analyst starts from a structured evidence bundle instead of a raw search engine session.</w:t>
      </w:r>
    </w:p>
    <w:p>
      <w:pPr>
        <w:pStyle w:val="Heading3"/>
        <w:keepNext/>
      </w:pPr>
      <w:r>
        <w:rPr>
          <w:b/>
          <w:color w:val="BE185D"/>
        </w:rPr>
        <w:t>Use case 5 — Beneficial ownership</w:t>
      </w:r>
    </w:p>
    <w:p>
      <w:pPr>
        <w:spacing w:after="60"/>
      </w:pPr>
      <w:r>
        <w:rPr>
          <w:b w:val="0"/>
          <w:i w:val="0"/>
          <w:color w:val="475467"/>
          <w:sz w:val="20"/>
        </w:rPr>
        <w:t>The 50% ownership/control rule flags a company when any owner — individual or corporate parent — matches a designation, even with a clean company name; the related-party graph surfaces shared UBOs across the book and UBO-is-also-a-customer loops (FATF R.24/25).</w:t>
      </w:r>
    </w:p>
    <w:p>
      <w:pPr>
        <w:spacing w:after="160"/>
      </w:pPr>
      <w:r>
        <w:rPr>
          <w:b/>
          <w:i w:val="0"/>
          <w:color w:val="BE185D"/>
          <w:sz w:val="20"/>
        </w:rPr>
        <w:t xml:space="preserve">Value: </w:t>
      </w:r>
      <w:r>
        <w:rPr>
          <w:b w:val="0"/>
          <w:i w:val="0"/>
          <w:color w:val="475467"/>
          <w:sz w:val="20"/>
        </w:rPr>
        <w:t>The highest-impact evasion pattern (clean front, designated owner) is closed structurally.</w:t>
      </w:r>
    </w:p>
    <w:p>
      <w:pPr>
        <w:pStyle w:val="Heading3"/>
        <w:keepNext/>
      </w:pPr>
      <w:r>
        <w:rPr>
          <w:b/>
          <w:color w:val="BE185D"/>
        </w:rPr>
        <w:t>Use case 6 — Document verification (identity records)</w:t>
      </w:r>
    </w:p>
    <w:p>
      <w:pPr>
        <w:spacing w:after="60"/>
      </w:pPr>
      <w:r>
        <w:rPr>
          <w:b w:val="0"/>
          <w:i w:val="0"/>
          <w:color w:val="475467"/>
          <w:sz w:val="20"/>
        </w:rPr>
        <w:t>kyc.py parses each customer's compliance record and flags CDD gaps: missing or expired passport/Emirates ID (expiring today counts as expired; unparseable expiry counts as a gap), missing proof of address, DOB or nationality. Gaps print as MLRO work items and add +1 to the risk rating.</w:t>
      </w:r>
    </w:p>
    <w:p>
      <w:pPr>
        <w:spacing w:after="160"/>
      </w:pPr>
      <w:r>
        <w:rPr>
          <w:b/>
          <w:i w:val="0"/>
          <w:color w:val="BE185D"/>
          <w:sz w:val="20"/>
        </w:rPr>
        <w:t xml:space="preserve">Value: </w:t>
      </w:r>
      <w:r>
        <w:rPr>
          <w:b w:val="0"/>
          <w:i w:val="0"/>
          <w:color w:val="475467"/>
          <w:sz w:val="20"/>
        </w:rPr>
        <w:t>Identity hygiene becomes a measured, listed backlog instead of an audit surprise. (No OCR: verification of document images remains a human task.)</w:t>
      </w:r>
    </w:p>
    <w:p>
      <w:pPr>
        <w:pStyle w:val="Heading3"/>
        <w:keepNext/>
      </w:pPr>
      <w:r>
        <w:rPr>
          <w:b/>
          <w:color w:val="BE185D"/>
        </w:rPr>
        <w:t>Use case 7 — Enhanced Due Diligence</w:t>
      </w:r>
    </w:p>
    <w:p>
      <w:pPr>
        <w:spacing w:after="60"/>
      </w:pPr>
      <w:r>
        <w:rPr>
          <w:b w:val="0"/>
          <w:i w:val="0"/>
          <w:color w:val="475467"/>
          <w:sz w:val="20"/>
        </w:rPr>
        <w:t>EDD is triggered three ways: hard outcomes in the assessment app (PEP, FATF call-for-action jurisdictions, ASM red flag), HIGH ratings in the screening engine (confirmed match or control linkage force HIGH), and the Advisor's escalation decision engine — each with cadence guidance (HIGH → EDD + senior sign-off, 6-month review).</w:t>
      </w:r>
    </w:p>
    <w:p>
      <w:pPr>
        <w:spacing w:after="160"/>
      </w:pPr>
      <w:r>
        <w:rPr>
          <w:b/>
          <w:i w:val="0"/>
          <w:color w:val="BE185D"/>
          <w:sz w:val="20"/>
        </w:rPr>
        <w:t xml:space="preserve">Value: </w:t>
      </w:r>
      <w:r>
        <w:rPr>
          <w:b w:val="0"/>
          <w:i w:val="0"/>
          <w:color w:val="475467"/>
          <w:sz w:val="20"/>
        </w:rPr>
        <w:t>Consistent EDD triggering across surfaces, each trigger carrying its stated basis.</w:t>
      </w:r>
    </w:p>
    <w:p>
      <w:pPr>
        <w:pStyle w:val="Heading3"/>
        <w:keepNext/>
      </w:pPr>
      <w:r>
        <w:rPr>
          <w:b/>
          <w:color w:val="BE185D"/>
        </w:rPr>
        <w:t>Use case 8 — Risk scoring</w:t>
      </w:r>
    </w:p>
    <w:p>
      <w:pPr>
        <w:spacing w:after="60"/>
      </w:pPr>
      <w:r>
        <w:rPr>
          <w:b w:val="0"/>
          <w:i w:val="0"/>
          <w:color w:val="475467"/>
          <w:sz w:val="20"/>
        </w:rPr>
        <w:t>The on-device 0–30 factor model produces the CDD/SDD/EDD verdict with per-factor chips and boundary warnings; the screening engine's Low/Medium/High rating prints its driving factors. Both are deterministic; neither can be silently altered — risk-data changes go through PRs, analyst overrides are one-way with mandatory justification.</w:t>
      </w:r>
    </w:p>
    <w:p>
      <w:pPr>
        <w:spacing w:after="160"/>
      </w:pPr>
      <w:r>
        <w:rPr>
          <w:b/>
          <w:i w:val="0"/>
          <w:color w:val="BE185D"/>
          <w:sz w:val="20"/>
        </w:rPr>
        <w:t xml:space="preserve">Value: </w:t>
      </w:r>
      <w:r>
        <w:rPr>
          <w:b w:val="0"/>
          <w:i w:val="0"/>
          <w:color w:val="475467"/>
          <w:sz w:val="20"/>
        </w:rPr>
        <w:t>Two consistent scoring engines whose logic an inspector can read, test and replay.</w:t>
      </w:r>
    </w:p>
    <w:p>
      <w:pPr>
        <w:pStyle w:val="Heading3"/>
        <w:keepNext/>
      </w:pPr>
      <w:r>
        <w:rPr>
          <w:b/>
          <w:color w:val="BE185D"/>
        </w:rPr>
        <w:t>Use case 9 — Alert prioritization</w:t>
      </w:r>
    </w:p>
    <w:p>
      <w:pPr>
        <w:spacing w:after="60"/>
      </w:pPr>
      <w:r>
        <w:rPr>
          <w:b w:val="0"/>
          <w:i w:val="0"/>
          <w:color w:val="475467"/>
          <w:sz w:val="20"/>
        </w:rPr>
        <w:t>Every report leads with NEW items; case subtasks are created in priority order (sanctions → PEP → adverse media) and capped with logged overflow, never silent drops; severities rank article lists.</w:t>
      </w:r>
    </w:p>
    <w:p>
      <w:pPr>
        <w:spacing w:after="160"/>
      </w:pPr>
      <w:r>
        <w:rPr>
          <w:b/>
          <w:i w:val="0"/>
          <w:color w:val="BE185D"/>
          <w:sz w:val="20"/>
        </w:rPr>
        <w:t xml:space="preserve">Value: </w:t>
      </w:r>
      <w:r>
        <w:rPr>
          <w:b w:val="0"/>
          <w:i w:val="0"/>
          <w:color w:val="475467"/>
          <w:sz w:val="20"/>
        </w:rPr>
        <w:t>Analyst attention lands on what changed and what matters first.</w:t>
      </w:r>
    </w:p>
    <w:p>
      <w:pPr>
        <w:pStyle w:val="Heading3"/>
        <w:keepNext/>
      </w:pPr>
      <w:r>
        <w:rPr>
          <w:b/>
          <w:color w:val="BE185D"/>
        </w:rPr>
        <w:t>Use case 10 — Case summarization</w:t>
      </w:r>
    </w:p>
    <w:p>
      <w:pPr>
        <w:spacing w:after="60"/>
      </w:pPr>
      <w:r>
        <w:rPr>
          <w:b w:val="0"/>
          <w:i w:val="0"/>
          <w:color w:val="475467"/>
          <w:sz w:val="20"/>
        </w:rPr>
        <w:t>Each alert carries a 'why flagged / what to check' note (deterministic template today; LLM-written only under explicit REPORT_ALLOW_LLM opt-in) and an explainable rating; the Advisor produces structured case briefings on demand under its charter.</w:t>
      </w:r>
    </w:p>
    <w:p>
      <w:pPr>
        <w:spacing w:after="160"/>
      </w:pPr>
      <w:r>
        <w:rPr>
          <w:b/>
          <w:i w:val="0"/>
          <w:color w:val="BE185D"/>
          <w:sz w:val="20"/>
        </w:rPr>
        <w:t xml:space="preserve">Value: </w:t>
      </w:r>
      <w:r>
        <w:rPr>
          <w:b w:val="0"/>
          <w:i w:val="0"/>
          <w:color w:val="475467"/>
          <w:sz w:val="20"/>
        </w:rPr>
        <w:t>Case pickup time shrinks while every summary stays evidence-bound.</w:t>
      </w:r>
    </w:p>
    <w:p>
      <w:pPr>
        <w:pStyle w:val="Heading3"/>
        <w:keepNext/>
      </w:pPr>
      <w:r>
        <w:rPr>
          <w:b/>
          <w:color w:val="BE185D"/>
        </w:rPr>
        <w:t>Use case 11 — Suspicious activity investigation &amp; STR filing</w:t>
      </w:r>
    </w:p>
    <w:p>
      <w:pPr>
        <w:spacing w:after="60"/>
      </w:pPr>
      <w:r>
        <w:rPr>
          <w:b w:val="0"/>
          <w:i w:val="0"/>
          <w:color w:val="475467"/>
          <w:sz w:val="20"/>
        </w:rPr>
        <w:t>HIGH-risk or confirmed cases arrive with a goAML-aligned STR/SAR draft attached — grounds for suspicion, risk factors, regulatory basis (FDL 10/2025, Cabinet Resolutions 134/2025 and 74/2020) — stamped 'AI-ASSISTED DRAFT… the MLRO must verify every ground, complete the report, and file it. No automated filing.' A standalone dossier assembler (str_dossier.py) maps case JSON to goAML field groups with a validation checklist.</w:t>
      </w:r>
    </w:p>
    <w:p>
      <w:pPr>
        <w:spacing w:after="160"/>
      </w:pPr>
      <w:r>
        <w:rPr>
          <w:b/>
          <w:i w:val="0"/>
          <w:color w:val="BE185D"/>
          <w:sz w:val="20"/>
        </w:rPr>
        <w:t xml:space="preserve">Value: </w:t>
      </w:r>
      <w:r>
        <w:rPr>
          <w:b w:val="0"/>
          <w:i w:val="0"/>
          <w:color w:val="475467"/>
          <w:sz w:val="20"/>
        </w:rPr>
        <w:t>Filing preparation drops to a review-and-complete task; the filing act — and accountability — remain entirely human.</w:t>
      </w:r>
    </w:p>
    <w:tbl>
      <w:tblPr>
        <w:tblW w:type="auto" w:w="0"/>
        <w:jc w:val="center"/>
        <w:tblLook w:firstColumn="1" w:firstRow="1" w:lastColumn="0" w:lastRow="0" w:noHBand="0" w:noVBand="1" w:val="04A0"/>
      </w:tblPr>
      <w:tblGrid>
        <w:gridCol w:w="9412"/>
      </w:tblGrid>
      <w:tr>
        <w:tc>
          <w:tcPr>
            <w:tcW w:type="dxa" w:w="9411"/>
            <w:shd w:val="clear" w:fill="E8F0FE"/>
            <w:tcBorders>
              <w:left w:val="single" w:sz="24" w:color="1D4ED8"/>
              <w:top w:val="single" w:sz="2" w:color="E8F0FE"/>
              <w:bottom w:val="single" w:sz="2" w:color="E8F0FE"/>
              <w:right w:val="single" w:sz="2" w:color="E8F0FE"/>
            </w:tcBorders>
          </w:tcPr>
          <w:p>
            <w:pPr>
              <w:spacing w:before="40" w:after="40"/>
            </w:pPr>
            <w:r>
              <w:rPr>
                <w:b/>
                <w:color w:val="101828"/>
                <w:sz w:val="20"/>
              </w:rPr>
              <w:t>POWERPOINT GRAPHIC — SLIDES 10–11</w:t>
              <w:br/>
            </w:r>
            <w:r>
              <w:rPr>
                <w:color w:val="475467"/>
                <w:sz w:val="20"/>
              </w:rPr>
              <w:t>Suggested slide treatment (2 slides): a 'day in the life' split-screen — column A 'before' (manual searches, ad-hoc notes, unbounded queues), column B 'with Hawkeye Sterling' (six-hour onboarding screen, evidence bundles, drafted STR). Use use cases 1, 3, 4 and 11 as the four storyline rows.</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07   </w:t>
      </w:r>
      <w:r>
        <w:rPr>
          <w:rFonts w:ascii="Calibri" w:hAnsi="Calibri"/>
          <w:b/>
          <w:color w:val="101828"/>
          <w:sz w:val="34"/>
        </w:rPr>
        <w:t>Human-in-the-Loop</w:t>
      </w:r>
    </w:p>
    <w:p>
      <w:pPr>
        <w:spacing w:after="200"/>
      </w:pPr>
      <w:r>
        <w:rPr>
          <w:b w:val="0"/>
          <w:i/>
          <w:color w:val="BE185D"/>
          <w:sz w:val="18"/>
        </w:rPr>
        <w:t>Maps to Slide 12 · Key message: human authority is not a policy overlay — it is enforced by the platform's structure.</w:t>
      </w:r>
    </w:p>
    <w:p>
      <w:pPr>
        <w:spacing w:after="120"/>
      </w:pPr>
      <w:r>
        <w:rPr>
          <w:b w:val="0"/>
          <w:i w:val="0"/>
          <w:color w:val="475467"/>
          <w:sz w:val="21"/>
        </w:rPr>
        <w:t>Every audience — from the board to the supervisor — should leave with the same understanding: this platform is architected so that AI cannot decide, and the accountable officer must. The controls below are structural, code-level facts, not policy aspirations.</w:t>
      </w:r>
    </w:p>
    <w:p>
      <w:pPr>
        <w:jc w:val="center"/>
        <w:keepNext/>
      </w:pPr>
      <w:r>
        <w:drawing>
          <wp:inline xmlns:a="http://schemas.openxmlformats.org/drawingml/2006/main" xmlns:pic="http://schemas.openxmlformats.org/drawingml/2006/picture">
            <wp:extent cx="5903999" cy="1169660"/>
            <wp:docPr id="3" name="Picture 3"/>
            <wp:cNvGraphicFramePr>
              <a:graphicFrameLocks noChangeAspect="1"/>
            </wp:cNvGraphicFramePr>
            <a:graphic>
              <a:graphicData uri="http://schemas.openxmlformats.org/drawingml/2006/picture">
                <pic:pic>
                  <pic:nvPicPr>
                    <pic:cNvPr id="0" name="d3-hitl.png"/>
                    <pic:cNvPicPr/>
                  </pic:nvPicPr>
                  <pic:blipFill>
                    <a:blip r:embed="rId12"/>
                    <a:stretch>
                      <a:fillRect/>
                    </a:stretch>
                  </pic:blipFill>
                  <pic:spPr>
                    <a:xfrm>
                      <a:off x="0" y="0"/>
                      <a:ext cx="5903999" cy="1169660"/>
                    </a:xfrm>
                    <a:prstGeom prst="rect"/>
                  </pic:spPr>
                </pic:pic>
              </a:graphicData>
            </a:graphic>
          </wp:inline>
        </w:drawing>
      </w:r>
    </w:p>
    <w:p>
      <w:pPr>
        <w:spacing w:after="200"/>
        <w:jc w:val="center"/>
      </w:pPr>
      <w:r>
        <w:rPr>
          <w:b/>
          <w:i w:val="0"/>
          <w:color w:val="101828"/>
          <w:sz w:val="18"/>
        </w:rPr>
        <w:t>Figure 3 — AI proposes — a deterministic gate verifies — the MLRO decides — everything is recorded</w:t>
      </w:r>
    </w:p>
    <w:p>
      <w:pPr>
        <w:pStyle w:val="Heading2"/>
        <w:keepNext/>
      </w:pPr>
      <w:r>
        <w:rPr>
          <w:b/>
          <w:color w:val="BE185D"/>
        </w:rPr>
        <w:t xml:space="preserve">7.1  </w:t>
      </w:r>
      <w:r>
        <w:rPr>
          <w:b/>
          <w:color w:val="101828"/>
        </w:rPr>
        <w:t>AI recommendations — and their limits</w:t>
      </w:r>
    </w:p>
    <w:p>
      <w:pPr>
        <w:pStyle w:val="ListBullet"/>
        <w:spacing w:after="60"/>
      </w:pPr>
      <w:r>
        <w:rPr>
          <w:b/>
          <w:color w:val="101828"/>
          <w:sz w:val="21"/>
        </w:rPr>
        <w:t xml:space="preserve">Everything is decision support. </w:t>
      </w:r>
      <w:r>
        <w:rPr>
          <w:color w:val="475467"/>
          <w:sz w:val="21"/>
        </w:rPr>
        <w:t>ai.py design rule #1: 'Nothing here decides, freezes, declines or files. Every output is decision-SUPPORT for the MLRO, who retains the decision.' The Advisor's every response ends: 'This output is decision support, not a decision. MLRO review required.'</w:t>
      </w:r>
    </w:p>
    <w:p>
      <w:pPr>
        <w:pStyle w:val="ListBullet"/>
        <w:spacing w:after="60"/>
      </w:pPr>
      <w:r>
        <w:rPr>
          <w:b/>
          <w:color w:val="101828"/>
          <w:sz w:val="21"/>
        </w:rPr>
        <w:t xml:space="preserve">Structural denial of authority. </w:t>
      </w:r>
      <w:r>
        <w:rPr>
          <w:color w:val="475467"/>
          <w:sz w:val="21"/>
        </w:rPr>
        <w:t>In the agentic model, the case agent's allow-list contains 'propose' only — it is not authorized to file; only the delivery agent may write to Asana, and it 'holds no decision authority.' An out-of-policy action is denied and logged (agents.py).</w:t>
      </w:r>
    </w:p>
    <w:p>
      <w:pPr>
        <w:pStyle w:val="ListBullet"/>
        <w:spacing w:after="60"/>
      </w:pPr>
      <w:r>
        <w:rPr>
          <w:b/>
          <w:color w:val="101828"/>
          <w:sz w:val="21"/>
        </w:rPr>
        <w:t xml:space="preserve">No automated filing exists. </w:t>
      </w:r>
      <w:r>
        <w:rPr>
          <w:color w:val="475467"/>
          <w:sz w:val="21"/>
        </w:rPr>
        <w:t>STR/SAR output is a stamped DRAFT; goAML submission is a human act. str_dossier.py: 'This tool NEVER files anything.'</w:t>
      </w:r>
    </w:p>
    <w:p>
      <w:pPr>
        <w:pStyle w:val="Heading2"/>
        <w:keepNext/>
      </w:pPr>
      <w:r>
        <w:rPr>
          <w:b/>
          <w:color w:val="BE185D"/>
        </w:rPr>
        <w:t xml:space="preserve">7.2  </w:t>
      </w:r>
      <w:r>
        <w:rPr>
          <w:b/>
          <w:color w:val="101828"/>
        </w:rPr>
        <w:t>Human approval points</w:t>
      </w:r>
    </w:p>
    <w:p>
      <w:pPr>
        <w:spacing w:after="60"/>
        <w:keepNext/>
      </w:pPr>
      <w:r>
        <w:rPr>
          <w:b/>
          <w:i w:val="0"/>
          <w:color w:val="101828"/>
          <w:sz w:val="18"/>
        </w:rPr>
        <w:t>Table 9 — Every consequential decision has a named human gate</w:t>
      </w:r>
    </w:p>
    <w:tbl>
      <w:tblPr>
        <w:tblW w:type="auto" w:w="0"/>
        <w:jc w:val="center"/>
        <w:tblLayout w:type="fixed"/>
        <w:tblLook w:firstColumn="1" w:firstRow="1" w:lastColumn="0" w:lastRow="0" w:noHBand="0" w:noVBand="1" w:val="04A0"/>
      </w:tblPr>
      <w:tblGrid>
        <w:gridCol w:w="4706"/>
        <w:gridCol w:w="4706"/>
      </w:tblGrid>
      <w:tr>
        <w:tc>
          <w:tcPr>
            <w:tcW w:type="dxa" w:w="2948"/>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Decision</w:t>
            </w:r>
          </w:p>
        </w:tc>
        <w:tc>
          <w:tcPr>
            <w:tcW w:type="dxa" w:w="6463"/>
            <w:shd w:val="clear" w:fill="101828"/>
            <w:tcBorders>
              <w:top w:val="single" w:sz="4" w:color="98A2B3"/>
              <w:bottom w:val="single" w:sz="4" w:color="98A2B3"/>
              <w:left w:val="single" w:sz="4" w:color="98A2B3"/>
              <w:right w:val="single" w:sz="4" w:color="98A2B3"/>
            </w:tcBorders>
          </w:tcPr>
          <w:p>
            <w:pPr>
              <w:spacing w:before="40" w:after="40"/>
            </w:pPr>
            <w:r>
              <w:rPr>
                <w:b/>
                <w:color w:val="FFFFFF"/>
                <w:sz w:val="19"/>
              </w:rPr>
              <w:t>Human control (as implemented)</w:t>
            </w:r>
          </w:p>
        </w:tc>
      </w:tr>
      <w:tr>
        <w:tc>
          <w:tcPr>
            <w:tcW w:type="dxa" w:w="2948"/>
            <w:tcBorders>
              <w:top w:val="single" w:sz="4" w:color="D0D5DD"/>
              <w:bottom w:val="single" w:sz="4" w:color="D0D5DD"/>
              <w:left w:val="single" w:sz="4" w:color="D0D5DD"/>
              <w:right w:val="single" w:sz="4" w:color="D0D5DD"/>
            </w:tcBorders>
          </w:tcPr>
          <w:p>
            <w:pPr>
              <w:spacing w:before="20" w:after="20"/>
            </w:pPr>
            <w:r>
              <w:rPr>
                <w:color w:val="475467"/>
                <w:sz w:val="19"/>
              </w:rPr>
              <w:t>Sanctions match disposition</w:t>
            </w:r>
          </w:p>
        </w:tc>
        <w:tc>
          <w:tcPr>
            <w:tcW w:type="dxa" w:w="6463"/>
            <w:tcBorders>
              <w:top w:val="single" w:sz="4" w:color="D0D5DD"/>
              <w:bottom w:val="single" w:sz="4" w:color="D0D5DD"/>
              <w:left w:val="single" w:sz="4" w:color="D0D5DD"/>
              <w:right w:val="single" w:sz="4" w:color="D0D5DD"/>
            </w:tcBorders>
          </w:tcPr>
          <w:p>
            <w:pPr>
              <w:spacing w:before="20" w:after="20"/>
            </w:pPr>
            <w:r>
              <w:rPr>
                <w:color w:val="475467"/>
                <w:sz w:val="19"/>
              </w:rPr>
              <w:t>MLRO case subtask with disposition checklist; confirmed hits demand four-eyes review (FATF R.26; UAE FDL 10/2025)</w:t>
            </w:r>
          </w:p>
        </w:tc>
      </w:tr>
      <w:tr>
        <w:tc>
          <w:tcPr>
            <w:tcW w:type="dxa" w:w="294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Freeze / decline / report</w:t>
            </w:r>
          </w:p>
        </w:tc>
        <w:tc>
          <w:tcPr>
            <w:tcW w:type="dxa" w:w="6463"/>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Dual-attested human decision; system posts evidence and TFS action class only (Cabinet Resolution 74/2020 cited on the case)</w:t>
            </w:r>
          </w:p>
        </w:tc>
      </w:tr>
      <w:tr>
        <w:tc>
          <w:tcPr>
            <w:tcW w:type="dxa" w:w="2948"/>
            <w:tcBorders>
              <w:top w:val="single" w:sz="4" w:color="D0D5DD"/>
              <w:bottom w:val="single" w:sz="4" w:color="D0D5DD"/>
              <w:left w:val="single" w:sz="4" w:color="D0D5DD"/>
              <w:right w:val="single" w:sz="4" w:color="D0D5DD"/>
            </w:tcBorders>
          </w:tcPr>
          <w:p>
            <w:pPr>
              <w:spacing w:before="20" w:after="20"/>
            </w:pPr>
            <w:r>
              <w:rPr>
                <w:color w:val="475467"/>
                <w:sz w:val="19"/>
              </w:rPr>
              <w:t>STR/SAR filing</w:t>
            </w:r>
          </w:p>
        </w:tc>
        <w:tc>
          <w:tcPr>
            <w:tcW w:type="dxa" w:w="6463"/>
            <w:tcBorders>
              <w:top w:val="single" w:sz="4" w:color="D0D5DD"/>
              <w:bottom w:val="single" w:sz="4" w:color="D0D5DD"/>
              <w:left w:val="single" w:sz="4" w:color="D0D5DD"/>
              <w:right w:val="single" w:sz="4" w:color="D0D5DD"/>
            </w:tcBorders>
          </w:tcPr>
          <w:p>
            <w:pPr>
              <w:spacing w:before="20" w:after="20"/>
            </w:pPr>
            <w:r>
              <w:rPr>
                <w:color w:val="475467"/>
                <w:sz w:val="19"/>
              </w:rPr>
              <w:t>MLRO verifies every ground, completes and files via goAML; sign-off block with name/date on the dossier</w:t>
            </w:r>
          </w:p>
        </w:tc>
      </w:tr>
      <w:tr>
        <w:tc>
          <w:tcPr>
            <w:tcW w:type="dxa" w:w="294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Risk-outcome override</w:t>
            </w:r>
          </w:p>
        </w:tc>
        <w:tc>
          <w:tcPr>
            <w:tcW w:type="dxa" w:w="6463"/>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Analyst may only RAISE the outcome (one-way ratchet CDD→SDD→EDD), with a mandatory printed justification; never applies to PROHIBITED</w:t>
            </w:r>
          </w:p>
        </w:tc>
      </w:tr>
      <w:tr>
        <w:tc>
          <w:tcPr>
            <w:tcW w:type="dxa" w:w="2948"/>
            <w:tcBorders>
              <w:top w:val="single" w:sz="4" w:color="D0D5DD"/>
              <w:bottom w:val="single" w:sz="4" w:color="D0D5DD"/>
              <w:left w:val="single" w:sz="4" w:color="D0D5DD"/>
              <w:right w:val="single" w:sz="4" w:color="D0D5DD"/>
            </w:tcBorders>
          </w:tcPr>
          <w:p>
            <w:pPr>
              <w:spacing w:before="20" w:after="20"/>
            </w:pPr>
            <w:r>
              <w:rPr>
                <w:color w:val="475467"/>
                <w:sz w:val="19"/>
              </w:rPr>
              <w:t>Firm risk-data changes</w:t>
            </w:r>
          </w:p>
        </w:tc>
        <w:tc>
          <w:tcPr>
            <w:tcW w:type="dxa" w:w="6463"/>
            <w:tcBorders>
              <w:top w:val="single" w:sz="4" w:color="D0D5DD"/>
              <w:bottom w:val="single" w:sz="4" w:color="D0D5DD"/>
              <w:left w:val="single" w:sz="4" w:color="D0D5DD"/>
              <w:right w:val="single" w:sz="4" w:color="D0D5DD"/>
            </w:tcBorders>
          </w:tcPr>
          <w:p>
            <w:pPr>
              <w:spacing w:before="20" w:after="20"/>
            </w:pPr>
            <w:r>
              <w:rPr>
                <w:color w:val="475467"/>
                <w:sz w:val="19"/>
              </w:rPr>
              <w:t>Score/flag overrides require a reason, are date-stamped, exported as a versioned sheet; baseline changes go through pull-request review (git history = audit trail)</w:t>
            </w:r>
          </w:p>
        </w:tc>
      </w:tr>
      <w:tr>
        <w:tc>
          <w:tcPr>
            <w:tcW w:type="dxa" w:w="2948"/>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Regulatory wording changes</w:t>
            </w:r>
          </w:p>
        </w:tc>
        <w:tc>
          <w:tcPr>
            <w:tcW w:type="dxa" w:w="6463"/>
            <w:tcBorders>
              <w:top w:val="single" w:sz="4" w:color="D0D5DD"/>
              <w:bottom w:val="single" w:sz="4" w:color="D0D5DD"/>
              <w:left w:val="single" w:sz="4" w:color="D0D5DD"/>
              <w:right w:val="single" w:sz="4" w:color="D0D5DD"/>
            </w:tcBorders>
            <w:shd w:val="clear" w:fill="F2F4F7"/>
          </w:tcPr>
          <w:p>
            <w:pPr>
              <w:spacing w:before="20" w:after="20"/>
            </w:pPr>
            <w:r>
              <w:rPr>
                <w:color w:val="475467"/>
                <w:sz w:val="19"/>
              </w:rPr>
              <w:t>Reg-watch opens a PR; the AI draft is a proposal document — 'a human reviews and applies', never auto-published</w:t>
            </w:r>
          </w:p>
        </w:tc>
      </w:tr>
      <w:tr>
        <w:tc>
          <w:tcPr>
            <w:tcW w:type="dxa" w:w="2948"/>
            <w:tcBorders>
              <w:top w:val="single" w:sz="4" w:color="D0D5DD"/>
              <w:bottom w:val="single" w:sz="4" w:color="D0D5DD"/>
              <w:left w:val="single" w:sz="4" w:color="D0D5DD"/>
              <w:right w:val="single" w:sz="4" w:color="D0D5DD"/>
            </w:tcBorders>
          </w:tcPr>
          <w:p>
            <w:pPr>
              <w:spacing w:before="20" w:after="20"/>
            </w:pPr>
            <w:r>
              <w:rPr>
                <w:color w:val="475467"/>
                <w:sz w:val="19"/>
              </w:rPr>
              <w:t>Enabling any LLM egress</w:t>
            </w:r>
          </w:p>
        </w:tc>
        <w:tc>
          <w:tcPr>
            <w:tcW w:type="dxa" w:w="6463"/>
            <w:tcBorders>
              <w:top w:val="single" w:sz="4" w:color="D0D5DD"/>
              <w:bottom w:val="single" w:sz="4" w:color="D0D5DD"/>
              <w:left w:val="single" w:sz="4" w:color="D0D5DD"/>
              <w:right w:val="single" w:sz="4" w:color="D0D5DD"/>
            </w:tcBorders>
          </w:tcPr>
          <w:p>
            <w:pPr>
              <w:spacing w:before="20" w:after="20"/>
            </w:pPr>
            <w:r>
              <w:rPr>
                <w:color w:val="475467"/>
                <w:sz w:val="19"/>
              </w:rPr>
              <w:t>A deliberate governance act: provision the key, set the gate flag (LLM_TRIAGE / REPORT_ALLOW_LLM), execute the DPA — each step documented and reversible via kill switch</w:t>
            </w:r>
          </w:p>
        </w:tc>
      </w:tr>
    </w:tbl>
    <w:p>
      <w:pPr>
        <w:spacing w:after="40"/>
      </w:pPr>
    </w:p>
    <w:p>
      <w:pPr>
        <w:pStyle w:val="Heading2"/>
        <w:keepNext/>
      </w:pPr>
      <w:r>
        <w:rPr>
          <w:b/>
          <w:color w:val="BE185D"/>
        </w:rPr>
        <w:t xml:space="preserve">7.3  </w:t>
      </w:r>
      <w:r>
        <w:rPr>
          <w:b/>
          <w:color w:val="101828"/>
        </w:rPr>
        <w:t>Explainability</w:t>
      </w:r>
    </w:p>
    <w:p>
      <w:pPr>
        <w:pStyle w:val="ListBullet"/>
        <w:spacing w:after="60"/>
      </w:pPr>
      <w:r>
        <w:rPr>
          <w:b/>
          <w:color w:val="101828"/>
          <w:sz w:val="21"/>
        </w:rPr>
        <w:t xml:space="preserve">Deterministic outputs show their work: </w:t>
      </w:r>
      <w:r>
        <w:rPr>
          <w:color w:val="475467"/>
          <w:sz w:val="21"/>
        </w:rPr>
        <w:t>risk ratings print contributing factors; assessment reports print per-factor chips; matches print the list entry, score and tier; thresholds are named constants.</w:t>
      </w:r>
    </w:p>
    <w:p>
      <w:pPr>
        <w:pStyle w:val="ListBullet"/>
        <w:spacing w:after="60"/>
      </w:pPr>
      <w:r>
        <w:rPr>
          <w:b/>
          <w:color w:val="101828"/>
          <w:sz w:val="21"/>
        </w:rPr>
        <w:t xml:space="preserve">AI outputs are labelled and evidence-bound: </w:t>
      </w:r>
      <w:r>
        <w:rPr>
          <w:color w:val="475467"/>
          <w:sz w:val="21"/>
        </w:rPr>
        <w:t>LLM results carry an ai:true / [AI] label and always ship the raw headline/link so a human can verify without trusting the model; the Advisor must state scope, gaps and methodology (charter P7/P9), and a runtime structure guard flags omissions.</w:t>
      </w:r>
    </w:p>
    <w:p>
      <w:pPr>
        <w:pStyle w:val="ListBullet"/>
        <w:spacing w:after="60"/>
      </w:pPr>
      <w:r>
        <w:rPr>
          <w:b/>
          <w:color w:val="101828"/>
          <w:sz w:val="21"/>
        </w:rPr>
        <w:t xml:space="preserve">Honesty guards against over-claiming: </w:t>
      </w:r>
      <w:r>
        <w:rPr>
          <w:color w:val="475467"/>
          <w:sz w:val="21"/>
        </w:rPr>
        <w:t>the report's AI-mode label reads 'deterministic (LLM standby — triage off)' when a key exists but triage is disabled — a documented fix after a run mislabelled its mode (screen.py _ai_mode_label).</w:t>
      </w:r>
    </w:p>
    <w:p>
      <w:pPr>
        <w:pStyle w:val="Heading2"/>
        <w:keepNext/>
      </w:pPr>
      <w:r>
        <w:rPr>
          <w:b/>
          <w:color w:val="BE185D"/>
        </w:rPr>
        <w:t xml:space="preserve">7.4  </w:t>
      </w:r>
      <w:r>
        <w:rPr>
          <w:b/>
          <w:color w:val="101828"/>
        </w:rPr>
        <w:t>Auditability, governance, accountability</w:t>
      </w:r>
    </w:p>
    <w:p>
      <w:pPr>
        <w:pStyle w:val="ListBullet"/>
        <w:spacing w:after="60"/>
      </w:pPr>
      <w:r>
        <w:rPr>
          <w:b/>
          <w:color w:val="101828"/>
          <w:sz w:val="21"/>
        </w:rPr>
        <w:t xml:space="preserve">Per-run: </w:t>
      </w:r>
      <w:r>
        <w:rPr>
          <w:color w:val="475467"/>
          <w:sz w:val="21"/>
        </w:rPr>
        <w:t>report sections ⑥/⑦ print the agent action log, QA gate result, credential-scoping summary and a governance attestation — on every single run.</w:t>
      </w:r>
    </w:p>
    <w:p>
      <w:pPr>
        <w:pStyle w:val="ListBullet"/>
        <w:spacing w:after="60"/>
      </w:pPr>
      <w:r>
        <w:rPr>
          <w:b/>
          <w:color w:val="101828"/>
          <w:sz w:val="21"/>
        </w:rPr>
        <w:t xml:space="preserve">Per-call: </w:t>
      </w:r>
      <w:r>
        <w:rPr>
          <w:color w:val="475467"/>
          <w:sz w:val="21"/>
        </w:rPr>
        <w:t>the Advisor audit line records timestamp, model, mode, latency, question hash, quality score and all guard flags.</w:t>
      </w:r>
    </w:p>
    <w:p>
      <w:pPr>
        <w:pStyle w:val="ListBullet"/>
        <w:spacing w:after="60"/>
      </w:pPr>
      <w:r>
        <w:rPr>
          <w:b/>
          <w:color w:val="101828"/>
          <w:sz w:val="21"/>
        </w:rPr>
        <w:t xml:space="preserve">On-device: </w:t>
      </w:r>
      <w:r>
        <w:rPr>
          <w:color w:val="475467"/>
          <w:sz w:val="21"/>
        </w:rPr>
        <w:t>a SHA-256 hash-chained activity log records completions, overrides, exports, deletions and unlocks, with chain-integrity checking.</w:t>
      </w:r>
    </w:p>
    <w:p>
      <w:pPr>
        <w:pStyle w:val="ListBullet"/>
        <w:spacing w:after="60"/>
      </w:pPr>
      <w:r>
        <w:rPr>
          <w:b/>
          <w:color w:val="101828"/>
          <w:sz w:val="21"/>
        </w:rPr>
        <w:t xml:space="preserve">Accountable owner: </w:t>
      </w:r>
      <w:r>
        <w:rPr>
          <w:color w:val="475467"/>
          <w:sz w:val="21"/>
        </w:rPr>
        <w:t>the AI asset register names the MLRO as accountable owner and Compliance Engineering as operational owner for every AI asset, reviewed quarterly (data/ai-assets.json).</w:t>
      </w:r>
    </w:p>
    <w:p>
      <w:pPr>
        <w:pStyle w:val="ListBullet"/>
        <w:spacing w:after="60"/>
      </w:pPr>
      <w:r>
        <w:rPr>
          <w:b/>
          <w:color w:val="101828"/>
          <w:sz w:val="21"/>
        </w:rPr>
        <w:t xml:space="preserve">Retention: </w:t>
      </w:r>
      <w:r>
        <w:rPr>
          <w:color w:val="475467"/>
          <w:sz w:val="21"/>
        </w:rPr>
        <w:t>run evidence retained in Asana + GitHub Actions per the documented retention schedule (docs/governance/data-retention.md; docs/aims cites 10-year UAE retention).</w:t>
      </w:r>
    </w:p>
    <w:tbl>
      <w:tblPr>
        <w:tblW w:type="auto" w:w="0"/>
        <w:jc w:val="center"/>
        <w:tblLook w:firstColumn="1" w:firstRow="1" w:lastColumn="0" w:lastRow="0" w:noHBand="0" w:noVBand="1" w:val="04A0"/>
      </w:tblPr>
      <w:tblGrid>
        <w:gridCol w:w="9412"/>
      </w:tblGrid>
      <w:tr>
        <w:tc>
          <w:tcPr>
            <w:tcW w:type="dxa" w:w="9411"/>
            <w:shd w:val="clear" w:fill="FDE7F0"/>
            <w:tcBorders>
              <w:left w:val="single" w:sz="24" w:color="BE185D"/>
              <w:top w:val="single" w:sz="2" w:color="FDE7F0"/>
              <w:bottom w:val="single" w:sz="2" w:color="FDE7F0"/>
              <w:right w:val="single" w:sz="2" w:color="FDE7F0"/>
            </w:tcBorders>
          </w:tcPr>
          <w:p>
            <w:pPr>
              <w:spacing w:before="40" w:after="40"/>
            </w:pPr>
            <w:r>
              <w:rPr>
                <w:b/>
                <w:color w:val="101828"/>
                <w:sz w:val="20"/>
              </w:rPr>
              <w:t>POWERPOINT GRAPHIC — SLIDE 12</w:t>
              <w:br/>
            </w:r>
            <w:r>
              <w:rPr>
                <w:color w:val="475467"/>
                <w:sz w:val="20"/>
              </w:rPr>
              <w:t>One sentence for the regulator: 'The AI can only shorten the path to a well-evidenced human decision — it cannot take one.' Suggested slide graphic: Figure 3 rendered large, with the four zones annotated PROPOSES / VERIFIES / DECIDES / RECORDS.</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08   </w:t>
      </w:r>
      <w:r>
        <w:rPr>
          <w:rFonts w:ascii="Calibri" w:hAnsi="Calibri"/>
          <w:b/>
          <w:color w:val="101828"/>
          <w:sz w:val="34"/>
        </w:rPr>
        <w:t>AI Governance</w:t>
      </w:r>
    </w:p>
    <w:p>
      <w:pPr>
        <w:spacing w:after="200"/>
      </w:pPr>
      <w:r>
        <w:rPr>
          <w:b w:val="0"/>
          <w:i/>
          <w:color w:val="BE185D"/>
          <w:sz w:val="18"/>
        </w:rPr>
        <w:t>Maps to Slides 13–14 · Key message: the governance is executable — registers, gates and evals that run in CI, not binders that sit on shelves.</w:t>
      </w:r>
    </w:p>
    <w:p>
      <w:pPr>
        <w:spacing w:after="120"/>
      </w:pPr>
      <w:r>
        <w:rPr>
          <w:b w:val="0"/>
          <w:i w:val="0"/>
          <w:color w:val="475467"/>
          <w:sz w:val="21"/>
        </w:rPr>
        <w:t>The platform operates a documented AI Management System: ~30 governance documents under docs/governance, a 27-document ISO/IEC 42001 AIMS pack under docs/aims, six model cards under docs/models, and a machine-readable AI asset register (data/ai-assets.json) whose consistency with the code is enforced by CI. Each governance domain requested is answered below with its implementing artifact.</w:t>
      </w:r>
    </w:p>
    <w:p>
      <w:pPr>
        <w:pStyle w:val="Heading2"/>
        <w:keepNext/>
      </w:pPr>
      <w:r>
        <w:rPr>
          <w:b/>
          <w:color w:val="BE185D"/>
        </w:rPr>
        <w:t xml:space="preserve">8.1  </w:t>
      </w:r>
      <w:r>
        <w:rPr>
          <w:b/>
          <w:color w:val="101828"/>
        </w:rPr>
        <w:t>Governance domains — implementation evidence</w:t>
      </w:r>
    </w:p>
    <w:p>
      <w:pPr>
        <w:spacing w:after="60"/>
        <w:keepNext/>
      </w:pPr>
      <w:r>
        <w:rPr>
          <w:b/>
          <w:i w:val="0"/>
          <w:color w:val="101828"/>
          <w:sz w:val="18"/>
        </w:rPr>
        <w:t>Table 10 — Twelve governance domains, each answered by code or a signed document</w:t>
      </w:r>
    </w:p>
    <w:tbl>
      <w:tblPr>
        <w:tblW w:type="auto" w:w="0"/>
        <w:jc w:val="center"/>
        <w:tblLayout w:type="fixed"/>
        <w:tblLook w:firstColumn="1" w:firstRow="1" w:lastColumn="0" w:lastRow="0" w:noHBand="0" w:noVBand="1" w:val="04A0"/>
      </w:tblPr>
      <w:tblGrid>
        <w:gridCol w:w="4706"/>
        <w:gridCol w:w="4706"/>
      </w:tblGrid>
      <w:tr>
        <w:tc>
          <w:tcPr>
            <w:tcW w:type="dxa" w:w="1928"/>
            <w:shd w:val="clear" w:fill="101828"/>
            <w:tcBorders>
              <w:top w:val="single" w:sz="4" w:color="98A2B3"/>
              <w:bottom w:val="single" w:sz="4" w:color="98A2B3"/>
              <w:left w:val="single" w:sz="4" w:color="98A2B3"/>
              <w:right w:val="single" w:sz="4" w:color="98A2B3"/>
            </w:tcBorders>
          </w:tcPr>
          <w:p>
            <w:pPr>
              <w:spacing w:before="40" w:after="40"/>
            </w:pPr>
            <w:r>
              <w:rPr>
                <w:b/>
                <w:color w:val="FFFFFF"/>
                <w:sz w:val="18"/>
              </w:rPr>
              <w:t>Domain</w:t>
            </w:r>
          </w:p>
        </w:tc>
        <w:tc>
          <w:tcPr>
            <w:tcW w:type="dxa" w:w="7483"/>
            <w:shd w:val="clear" w:fill="101828"/>
            <w:tcBorders>
              <w:top w:val="single" w:sz="4" w:color="98A2B3"/>
              <w:bottom w:val="single" w:sz="4" w:color="98A2B3"/>
              <w:left w:val="single" w:sz="4" w:color="98A2B3"/>
              <w:right w:val="single" w:sz="4" w:color="98A2B3"/>
            </w:tcBorders>
          </w:tcPr>
          <w:p>
            <w:pPr>
              <w:spacing w:before="40" w:after="40"/>
            </w:pPr>
            <w:r>
              <w:rPr>
                <w:b/>
                <w:color w:val="FFFFFF"/>
                <w:sz w:val="18"/>
              </w:rPr>
              <w:t>Implementation (evidence)</w:t>
            </w:r>
          </w:p>
        </w:tc>
      </w:tr>
      <w:tr>
        <w:tc>
          <w:tcPr>
            <w:tcW w:type="dxa" w:w="1928"/>
            <w:tcBorders>
              <w:top w:val="single" w:sz="4" w:color="D0D5DD"/>
              <w:bottom w:val="single" w:sz="4" w:color="D0D5DD"/>
              <w:left w:val="single" w:sz="4" w:color="D0D5DD"/>
              <w:right w:val="single" w:sz="4" w:color="D0D5DD"/>
            </w:tcBorders>
          </w:tcPr>
          <w:p>
            <w:pPr>
              <w:spacing w:before="20" w:after="20"/>
            </w:pPr>
            <w:r>
              <w:rPr>
                <w:b/>
                <w:i w:val="0"/>
                <w:color w:val="101828"/>
                <w:sz w:val="18"/>
              </w:rPr>
              <w:t>Model governance</w:t>
            </w:r>
          </w:p>
        </w:tc>
        <w:tc>
          <w:tcPr>
            <w:tcW w:type="dxa" w:w="7483"/>
            <w:tcBorders>
              <w:top w:val="single" w:sz="4" w:color="D0D5DD"/>
              <w:bottom w:val="single" w:sz="4" w:color="D0D5DD"/>
              <w:left w:val="single" w:sz="4" w:color="D0D5DD"/>
              <w:right w:val="single" w:sz="4" w:color="D0D5DD"/>
            </w:tcBorders>
          </w:tcPr>
          <w:p>
            <w:pPr>
              <w:spacing w:before="20" w:after="20"/>
            </w:pPr>
            <w:r>
              <w:rPr>
                <w:color w:val="475467"/>
                <w:sz w:val="18"/>
              </w:rPr>
              <w:t>AI asset register with exactly three registered AI surfaces — Advisor (risk tier MEDIUM), reg-draft (LOW), ai-triage (MEDIUM, dormant/fail-closed) — each with EU AI Act classification, owner, status and controls; quarterly review cadence; MLRO accountable. Shadow-AI control: test/ai-assets.test.js fails CI if any unregistered code calls api.anthropic.com (data/ai-assets.json)</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Prompt governance</w:t>
            </w:r>
          </w:p>
        </w:tc>
        <w:tc>
          <w:tcPr>
            <w:tcW w:type="dxa" w:w="748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System prompts are versioned code under test: the Advisor's Soul Charter (P1–P10, refusal protocol, match taxonomy) and the engine's GROUNDING_SYSTEM contract live in the repository; charter-drift tests assert every prohibition survives change (test/advisor-assurance.test.js; brain-soul.js; ai.py)</w:t>
            </w:r>
          </w:p>
        </w:tc>
      </w:tr>
      <w:tr>
        <w:tc>
          <w:tcPr>
            <w:tcW w:type="dxa" w:w="1928"/>
            <w:tcBorders>
              <w:top w:val="single" w:sz="4" w:color="D0D5DD"/>
              <w:bottom w:val="single" w:sz="4" w:color="D0D5DD"/>
              <w:left w:val="single" w:sz="4" w:color="D0D5DD"/>
              <w:right w:val="single" w:sz="4" w:color="D0D5DD"/>
            </w:tcBorders>
          </w:tcPr>
          <w:p>
            <w:pPr>
              <w:spacing w:before="20" w:after="20"/>
            </w:pPr>
            <w:r>
              <w:rPr>
                <w:b/>
                <w:i w:val="0"/>
                <w:color w:val="101828"/>
                <w:sz w:val="18"/>
              </w:rPr>
              <w:t>Versioning</w:t>
            </w:r>
          </w:p>
        </w:tc>
        <w:tc>
          <w:tcPr>
            <w:tcW w:type="dxa" w:w="7483"/>
            <w:tcBorders>
              <w:top w:val="single" w:sz="4" w:color="D0D5DD"/>
              <w:bottom w:val="single" w:sz="4" w:color="D0D5DD"/>
              <w:left w:val="single" w:sz="4" w:color="D0D5DD"/>
              <w:right w:val="single" w:sz="4" w:color="D0D5DD"/>
            </w:tcBorders>
          </w:tcPr>
          <w:p>
            <w:pPr>
              <w:spacing w:before="20" w:after="20"/>
            </w:pPr>
            <w:r>
              <w:rPr>
                <w:color w:val="475467"/>
                <w:sz w:val="18"/>
              </w:rPr>
              <w:t>Model IDs pinned per mode and asserted register↔code by CI so a silent model swap fails the build; app version 3.7.2 synchronised across package.json / app.js / CITATION.cff by a changelog gate; risk data versioned (RISK_DATA_VERSION) with PR-based change control</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Access controls</w:t>
            </w:r>
          </w:p>
        </w:tc>
        <w:tc>
          <w:tcPr>
            <w:tcW w:type="dxa" w:w="748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API keys server-side only (browser never holds them); credential broker issues secrets per authorized agent-action with values never logged; Netlify functions enforce origin allow-list + optional X-App-Token (strict mode available) + per-IP rate limits (LLM endpoint: 10/min); device app offers passphrase gate + idle auto-lock (agents.py; netlify/functions/_auth.js, _ratelimit.js)</w:t>
            </w:r>
          </w:p>
        </w:tc>
      </w:tr>
      <w:tr>
        <w:tc>
          <w:tcPr>
            <w:tcW w:type="dxa" w:w="1928"/>
            <w:tcBorders>
              <w:top w:val="single" w:sz="4" w:color="D0D5DD"/>
              <w:bottom w:val="single" w:sz="4" w:color="D0D5DD"/>
              <w:left w:val="single" w:sz="4" w:color="D0D5DD"/>
              <w:right w:val="single" w:sz="4" w:color="D0D5DD"/>
            </w:tcBorders>
          </w:tcPr>
          <w:p>
            <w:pPr>
              <w:spacing w:before="20" w:after="20"/>
            </w:pPr>
            <w:r>
              <w:rPr>
                <w:b/>
                <w:i w:val="0"/>
                <w:color w:val="101828"/>
                <w:sz w:val="18"/>
              </w:rPr>
              <w:t>Data privacy</w:t>
            </w:r>
          </w:p>
        </w:tc>
        <w:tc>
          <w:tcPr>
            <w:tcW w:type="dxa" w:w="7483"/>
            <w:tcBorders>
              <w:top w:val="single" w:sz="4" w:color="D0D5DD"/>
              <w:bottom w:val="single" w:sz="4" w:color="D0D5DD"/>
              <w:left w:val="single" w:sz="4" w:color="D0D5DD"/>
              <w:right w:val="single" w:sz="4" w:color="D0D5DD"/>
            </w:tcBorders>
          </w:tcPr>
          <w:p>
            <w:pPr>
              <w:spacing w:before="20" w:after="20"/>
            </w:pPr>
            <w:r>
              <w:rPr>
                <w:color w:val="475467"/>
                <w:sz w:val="18"/>
              </w:rPr>
              <w:t>UAE PDPL anchored: no customer-data egress without the firm provisioning a key (explicit authorisation); LLM triage held OFF until the Anthropic DPA is executed; DPIA signed by the MLRO (2026-07-02) with the cross-border transfer as the tracked residual risk; data minimisation caps on Advisor inputs (4,000/2,000 chars); Anthropic processing documented as transient / no-training (docs/governance/dpia-2026.md, data-retention.md)</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PII handling</w:t>
            </w:r>
          </w:p>
        </w:tc>
        <w:tc>
          <w:tcPr>
            <w:tcW w:type="dxa" w:w="748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Dual PII guards: client-side scan warns before identifiers leave the device; server-side piiGuard flags Emirates ID / passport / IBAN / long numbers into the audit line (advisory by design — an AML advisor legitimately handles identifiers, so the transfer is made visible and recorded); kyc.py masks ID numbers to last-3 characters in reports (advisor.js; brain-soul.js; kyc.py mask_id())</w:t>
            </w:r>
          </w:p>
        </w:tc>
      </w:tr>
      <w:tr>
        <w:tc>
          <w:tcPr>
            <w:tcW w:type="dxa" w:w="1928"/>
            <w:tcBorders>
              <w:top w:val="single" w:sz="4" w:color="D0D5DD"/>
              <w:bottom w:val="single" w:sz="4" w:color="D0D5DD"/>
              <w:left w:val="single" w:sz="4" w:color="D0D5DD"/>
              <w:right w:val="single" w:sz="4" w:color="D0D5DD"/>
            </w:tcBorders>
          </w:tcPr>
          <w:p>
            <w:pPr>
              <w:spacing w:before="20" w:after="20"/>
            </w:pPr>
            <w:r>
              <w:rPr>
                <w:b/>
                <w:i w:val="0"/>
                <w:color w:val="101828"/>
                <w:sz w:val="18"/>
              </w:rPr>
              <w:t>Bias mitigation</w:t>
            </w:r>
          </w:p>
        </w:tc>
        <w:tc>
          <w:tcPr>
            <w:tcW w:type="dxa" w:w="7483"/>
            <w:tcBorders>
              <w:top w:val="single" w:sz="4" w:color="D0D5DD"/>
              <w:bottom w:val="single" w:sz="4" w:color="D0D5DD"/>
              <w:left w:val="single" w:sz="4" w:color="D0D5DD"/>
              <w:right w:val="single" w:sz="4" w:color="D0D5DD"/>
            </w:tcBorders>
          </w:tcPr>
          <w:p>
            <w:pPr>
              <w:spacing w:before="20" w:after="20"/>
            </w:pPr>
            <w:r>
              <w:rPr>
                <w:color w:val="475467"/>
                <w:sz w:val="18"/>
              </w:rPr>
              <w:t>CI-enforced cross-script recall parity on the name matcher — Latin/Arabic/Turkish/Cyrillic/CJK equivalence sets, minimum group recall 0.70, max recall gap 0.30, zero false positives (test/bias_eval.py); weekly paired-prompt Advisor bias eval distinguishing justified divergence (FATF call-for-action) from unexplained divergence, which opens an issue; quarterly human bias review (scripts/advisor-bias-eval.mjs; docs/governance/advisor-bias-review-2026.md)</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Monitoring</w:t>
            </w:r>
          </w:p>
        </w:tc>
        <w:tc>
          <w:tcPr>
            <w:tcW w:type="dxa" w:w="748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Runtime metrics vs trailing baselines (latency ×3, error rate &gt;10%, coverage drop &gt;20%, media blackout &gt;25%, staleness heartbeat); sustained anomalies open a GitHub issue automatically; LLM call telemetry (attempted/ok/failed — counts only, no content) surfaces in every report (monitoring.py; anomaly-watch.yml)</w:t>
            </w:r>
          </w:p>
        </w:tc>
      </w:tr>
      <w:tr>
        <w:tc>
          <w:tcPr>
            <w:tcW w:type="dxa" w:w="1928"/>
            <w:tcBorders>
              <w:top w:val="single" w:sz="4" w:color="D0D5DD"/>
              <w:bottom w:val="single" w:sz="4" w:color="D0D5DD"/>
              <w:left w:val="single" w:sz="4" w:color="D0D5DD"/>
              <w:right w:val="single" w:sz="4" w:color="D0D5DD"/>
            </w:tcBorders>
          </w:tcPr>
          <w:p>
            <w:pPr>
              <w:spacing w:before="20" w:after="20"/>
            </w:pPr>
            <w:r>
              <w:rPr>
                <w:b/>
                <w:i w:val="0"/>
                <w:color w:val="101828"/>
                <w:sz w:val="18"/>
              </w:rPr>
              <w:t>Logging</w:t>
            </w:r>
          </w:p>
        </w:tc>
        <w:tc>
          <w:tcPr>
            <w:tcW w:type="dxa" w:w="7483"/>
            <w:tcBorders>
              <w:top w:val="single" w:sz="4" w:color="D0D5DD"/>
              <w:bottom w:val="single" w:sz="4" w:color="D0D5DD"/>
              <w:left w:val="single" w:sz="4" w:color="D0D5DD"/>
              <w:right w:val="single" w:sz="4" w:color="D0D5DD"/>
            </w:tcBorders>
          </w:tcPr>
          <w:p>
            <w:pPr>
              <w:spacing w:before="20" w:after="20"/>
            </w:pPr>
            <w:r>
              <w:rPr>
                <w:color w:val="475467"/>
                <w:sz w:val="18"/>
              </w:rPr>
              <w:t>Per-call Advisor audit line (timestamp, model, mode, hash, guard flags, quality score); agent action log (append-only, enforcing); on-device SHA-256 hash-chained activity log; upstream provider errors logged server-side only, never reflected to clients (brain-soul.js; agents.py; index.html)</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Audit trails</w:t>
            </w:r>
          </w:p>
        </w:tc>
        <w:tc>
          <w:tcPr>
            <w:tcW w:type="dxa" w:w="748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Every daily report embeds sections ⑥ (agent audit + credential scoping) and ⑦ (governance attestation + MLRO sign-off); git history is the declared audit trail for risk data and states; retention documented per store — device (user-controlled), Asana (statutory AML retention), git (permanent lineage), Anthropic (transient) (screen.py; docs/governance/data-retention.md)</w:t>
            </w:r>
          </w:p>
        </w:tc>
      </w:tr>
      <w:tr>
        <w:tc>
          <w:tcPr>
            <w:tcW w:type="dxa" w:w="1928"/>
            <w:tcBorders>
              <w:top w:val="single" w:sz="4" w:color="D0D5DD"/>
              <w:bottom w:val="single" w:sz="4" w:color="D0D5DD"/>
              <w:left w:val="single" w:sz="4" w:color="D0D5DD"/>
              <w:right w:val="single" w:sz="4" w:color="D0D5DD"/>
            </w:tcBorders>
          </w:tcPr>
          <w:p>
            <w:pPr>
              <w:spacing w:before="20" w:after="20"/>
            </w:pPr>
            <w:r>
              <w:rPr>
                <w:b/>
                <w:i w:val="0"/>
                <w:color w:val="101828"/>
                <w:sz w:val="18"/>
              </w:rPr>
              <w:t>Fallback mechanisms</w:t>
            </w:r>
          </w:p>
        </w:tc>
        <w:tc>
          <w:tcPr>
            <w:tcW w:type="dxa" w:w="7483"/>
            <w:tcBorders>
              <w:top w:val="single" w:sz="4" w:color="D0D5DD"/>
              <w:bottom w:val="single" w:sz="4" w:color="D0D5DD"/>
              <w:left w:val="single" w:sz="4" w:color="D0D5DD"/>
              <w:right w:val="single" w:sz="4" w:color="D0D5DD"/>
            </w:tcBorders>
          </w:tcPr>
          <w:p>
            <w:pPr>
              <w:spacing w:before="20" w:after="20"/>
            </w:pPr>
            <w:r>
              <w:rPr>
                <w:color w:val="475467"/>
                <w:sz w:val="18"/>
              </w:rPr>
              <w:t>Every LLM call has a deterministic fallback and 'never raises'; LLM failure marks output accordingly and never blocks a report; kill switches: ADVISOR_ENABLED=false → 503 without deleting the key, unset key disables all egress; mirror fallbacks for OFAC/UN/PEP sources; degrade-loudly exit codes (3/4/5) turn failed runs red rather than silently green (ai.py llm_complete(); brain-soul.js; screen.py gates)</w:t>
            </w:r>
          </w:p>
        </w:tc>
      </w:tr>
      <w:tr>
        <w:tc>
          <w:tcPr>
            <w:tcW w:type="dxa" w:w="192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Model validation</w:t>
            </w:r>
          </w:p>
        </w:tc>
        <w:tc>
          <w:tcPr>
            <w:tcW w:type="dxa" w:w="748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Layered assurance: offline charter/guard/routing tests run on every push (no key needed); ~23-payload prompt-injection red-team with a four-part contract (detect, never-send, no-downgrade, no-verdict-execution); property-based fuzzing (Hypothesis) of the normalisation layer; weekly LIVE behavioural evals through the real system prompt with regression exit codes; golden scoring tests for the deterministic engines (test/advisor-assurance.test.js, redteam_injection.py, fuzz_properties.py, bias_eval.py; scripts/advisor-eval.mjs)</w:t>
            </w:r>
          </w:p>
        </w:tc>
      </w:tr>
    </w:tbl>
    <w:p>
      <w:pPr>
        <w:spacing w:after="40"/>
      </w:pPr>
    </w:p>
    <w:p>
      <w:pPr>
        <w:pStyle w:val="Heading2"/>
        <w:keepNext/>
      </w:pPr>
      <w:r>
        <w:rPr>
          <w:b/>
          <w:color w:val="BE185D"/>
        </w:rPr>
        <w:t xml:space="preserve">8.2  </w:t>
      </w:r>
      <w:r>
        <w:rPr>
          <w:b/>
          <w:color w:val="101828"/>
        </w:rPr>
        <w:t>Framework alignment — evidenced, and honestly scoped</w:t>
      </w:r>
    </w:p>
    <w:p>
      <w:pPr>
        <w:spacing w:after="120"/>
      </w:pPr>
      <w:r>
        <w:rPr>
          <w:b w:val="0"/>
          <w:i w:val="0"/>
          <w:color w:val="475467"/>
          <w:sz w:val="21"/>
        </w:rPr>
        <w:t>The repository maps its AI governance to the frameworks below with dedicated documents. Alignment claims are self-assessments; no external certification is claimed anywhere in the repository.</w:t>
      </w:r>
    </w:p>
    <w:p>
      <w:pPr>
        <w:spacing w:after="60"/>
        <w:keepNext/>
      </w:pPr>
      <w:r>
        <w:rPr>
          <w:b/>
          <w:i w:val="0"/>
          <w:color w:val="101828"/>
          <w:sz w:val="18"/>
        </w:rPr>
        <w:t>Table 11 — Frameworks with dedicated repository evidence</w:t>
      </w:r>
    </w:p>
    <w:tbl>
      <w:tblPr>
        <w:tblW w:type="auto" w:w="0"/>
        <w:jc w:val="center"/>
        <w:tblLayout w:type="fixed"/>
        <w:tblLook w:firstColumn="1" w:firstRow="1" w:lastColumn="0" w:lastRow="0" w:noHBand="0" w:noVBand="1" w:val="04A0"/>
      </w:tblPr>
      <w:tblGrid>
        <w:gridCol w:w="4706"/>
        <w:gridCol w:w="4706"/>
      </w:tblGrid>
      <w:tr>
        <w:tc>
          <w:tcPr>
            <w:tcW w:type="dxa" w:w="3061"/>
            <w:shd w:val="clear" w:fill="101828"/>
            <w:tcBorders>
              <w:top w:val="single" w:sz="4" w:color="98A2B3"/>
              <w:bottom w:val="single" w:sz="4" w:color="98A2B3"/>
              <w:left w:val="single" w:sz="4" w:color="98A2B3"/>
              <w:right w:val="single" w:sz="4" w:color="98A2B3"/>
            </w:tcBorders>
          </w:tcPr>
          <w:p>
            <w:pPr>
              <w:spacing w:before="40" w:after="40"/>
            </w:pPr>
            <w:r>
              <w:rPr>
                <w:b/>
                <w:color w:val="FFFFFF"/>
                <w:sz w:val="18"/>
              </w:rPr>
              <w:t>Framework</w:t>
            </w:r>
          </w:p>
        </w:tc>
        <w:tc>
          <w:tcPr>
            <w:tcW w:type="dxa" w:w="6350"/>
            <w:shd w:val="clear" w:fill="101828"/>
            <w:tcBorders>
              <w:top w:val="single" w:sz="4" w:color="98A2B3"/>
              <w:bottom w:val="single" w:sz="4" w:color="98A2B3"/>
              <w:left w:val="single" w:sz="4" w:color="98A2B3"/>
              <w:right w:val="single" w:sz="4" w:color="98A2B3"/>
            </w:tcBorders>
          </w:tcPr>
          <w:p>
            <w:pPr>
              <w:spacing w:before="40" w:after="40"/>
            </w:pPr>
            <w:r>
              <w:rPr>
                <w:b/>
                <w:color w:val="FFFFFF"/>
                <w:sz w:val="18"/>
              </w:rPr>
              <w:t>Relevance &amp; evidence in the repository</w:t>
            </w:r>
          </w:p>
        </w:tc>
      </w:tr>
      <w:tr>
        <w:tc>
          <w:tcPr>
            <w:tcW w:type="dxa" w:w="3061"/>
            <w:tcBorders>
              <w:top w:val="single" w:sz="4" w:color="D0D5DD"/>
              <w:bottom w:val="single" w:sz="4" w:color="D0D5DD"/>
              <w:left w:val="single" w:sz="4" w:color="D0D5DD"/>
              <w:right w:val="single" w:sz="4" w:color="D0D5DD"/>
            </w:tcBorders>
          </w:tcPr>
          <w:p>
            <w:pPr>
              <w:spacing w:before="20" w:after="20"/>
            </w:pPr>
            <w:r>
              <w:rPr>
                <w:b/>
                <w:i w:val="0"/>
                <w:color w:val="101828"/>
                <w:sz w:val="18"/>
              </w:rPr>
              <w:t>FATF Recommendations</w:t>
            </w:r>
          </w:p>
        </w:tc>
        <w:tc>
          <w:tcPr>
            <w:tcW w:type="dxa" w:w="6350"/>
            <w:tcBorders>
              <w:top w:val="single" w:sz="4" w:color="D0D5DD"/>
              <w:bottom w:val="single" w:sz="4" w:color="D0D5DD"/>
              <w:left w:val="single" w:sz="4" w:color="D0D5DD"/>
              <w:right w:val="single" w:sz="4" w:color="D0D5DD"/>
            </w:tcBorders>
          </w:tcPr>
          <w:p>
            <w:pPr>
              <w:spacing w:before="20" w:after="20"/>
            </w:pPr>
            <w:r>
              <w:rPr>
                <w:color w:val="475467"/>
                <w:sz w:val="18"/>
              </w:rPr>
              <w:t>Operationally embedded: R.6 (TFS), R.10 (CDD/risk-based approach), R.12 (PEPs), R.16 (wire/transaction rules), R.24/25 (beneficial ownership), R.26 (four-eyes review) cited in code, reports and case notes</w:t>
            </w:r>
          </w:p>
        </w:tc>
      </w:tr>
      <w:tr>
        <w:tc>
          <w:tcPr>
            <w:tcW w:type="dxa" w:w="306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UAE statutory regime</w:t>
            </w:r>
          </w:p>
        </w:tc>
        <w:tc>
          <w:tcPr>
            <w:tcW w:type="dxa" w:w="6350"/>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Federal Decree-Law No. 10 of 2025 (AML/CFT/CPF), Cabinet Resolutions 134/2025 and 74/2020, goAML filing alignment, tipping-off protection (Article 25) enforced by a runtime output guard</w:t>
            </w:r>
          </w:p>
        </w:tc>
      </w:tr>
      <w:tr>
        <w:tc>
          <w:tcPr>
            <w:tcW w:type="dxa" w:w="3061"/>
            <w:tcBorders>
              <w:top w:val="single" w:sz="4" w:color="D0D5DD"/>
              <w:bottom w:val="single" w:sz="4" w:color="D0D5DD"/>
              <w:left w:val="single" w:sz="4" w:color="D0D5DD"/>
              <w:right w:val="single" w:sz="4" w:color="D0D5DD"/>
            </w:tcBorders>
          </w:tcPr>
          <w:p>
            <w:pPr>
              <w:spacing w:before="20" w:after="20"/>
            </w:pPr>
            <w:r>
              <w:rPr>
                <w:b/>
                <w:i w:val="0"/>
                <w:color w:val="101828"/>
                <w:sz w:val="18"/>
              </w:rPr>
              <w:t>UAE National AI Strategy 2031 / AI Ethics / AI Charter</w:t>
            </w:r>
          </w:p>
        </w:tc>
        <w:tc>
          <w:tcPr>
            <w:tcW w:type="dxa" w:w="6350"/>
            <w:tcBorders>
              <w:top w:val="single" w:sz="4" w:color="D0D5DD"/>
              <w:bottom w:val="single" w:sz="4" w:color="D0D5DD"/>
              <w:left w:val="single" w:sz="4" w:color="D0D5DD"/>
              <w:right w:val="single" w:sz="4" w:color="D0D5DD"/>
            </w:tcBorders>
          </w:tcPr>
          <w:p>
            <w:pPr>
              <w:spacing w:before="20" w:after="20"/>
            </w:pPr>
            <w:r>
              <w:rPr>
                <w:color w:val="475467"/>
                <w:sz w:val="18"/>
              </w:rPr>
              <w:t>The AI layer's declared design anchor (ai.py header); 12-principle UAE AI Charter mapping; 'Securing Agentic AI' prompt-security pillar implemented and red-team tested (docs/governance/uae-ai-charter-mapping-2026.md)</w:t>
            </w:r>
          </w:p>
        </w:tc>
      </w:tr>
      <w:tr>
        <w:tc>
          <w:tcPr>
            <w:tcW w:type="dxa" w:w="306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UAE PDPL (FDL 45/2021)</w:t>
            </w:r>
          </w:p>
        </w:tc>
        <w:tc>
          <w:tcPr>
            <w:tcW w:type="dxa" w:w="6350"/>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DPIA, ROPA, data-processing assessment; the LLM_TRIAGE=0 production gate is explicitly a PDPL cross-border control pending the Anthropic DPA (docs/governance/dpia-2026.md; docs/aims)</w:t>
            </w:r>
          </w:p>
        </w:tc>
      </w:tr>
      <w:tr>
        <w:tc>
          <w:tcPr>
            <w:tcW w:type="dxa" w:w="3061"/>
            <w:tcBorders>
              <w:top w:val="single" w:sz="4" w:color="D0D5DD"/>
              <w:bottom w:val="single" w:sz="4" w:color="D0D5DD"/>
              <w:left w:val="single" w:sz="4" w:color="D0D5DD"/>
              <w:right w:val="single" w:sz="4" w:color="D0D5DD"/>
            </w:tcBorders>
          </w:tcPr>
          <w:p>
            <w:pPr>
              <w:spacing w:before="20" w:after="20"/>
            </w:pPr>
            <w:r>
              <w:rPr>
                <w:b/>
                <w:i w:val="0"/>
                <w:color w:val="101828"/>
                <w:sz w:val="18"/>
              </w:rPr>
              <w:t>ISO/IEC 42001:2023 (AI management systems)</w:t>
            </w:r>
          </w:p>
        </w:tc>
        <w:tc>
          <w:tcPr>
            <w:tcW w:type="dxa" w:w="6350"/>
            <w:tcBorders>
              <w:top w:val="single" w:sz="4" w:color="D0D5DD"/>
              <w:bottom w:val="single" w:sz="4" w:color="D0D5DD"/>
              <w:left w:val="single" w:sz="4" w:color="D0D5DD"/>
              <w:right w:val="single" w:sz="4" w:color="D0D5DD"/>
            </w:tcBorders>
          </w:tcPr>
          <w:p>
            <w:pPr>
              <w:spacing w:before="20" w:after="20"/>
            </w:pPr>
            <w:r>
              <w:rPr>
                <w:color w:val="475467"/>
                <w:sz w:val="18"/>
              </w:rPr>
              <w:t>Statement of Applicability plus a 27-document AIMS pack: AI risk register, impact assessment, internal audit, management review, CAPA, third-party/DPA register, decommissioning (docs/governance/iso-42001-soa-2026.md; docs/aims/README.md)</w:t>
            </w:r>
          </w:p>
        </w:tc>
      </w:tr>
      <w:tr>
        <w:tc>
          <w:tcPr>
            <w:tcW w:type="dxa" w:w="3061"/>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8"/>
              </w:rPr>
              <w:t>NIST AI RMF 1.0</w:t>
            </w:r>
          </w:p>
        </w:tc>
        <w:tc>
          <w:tcPr>
            <w:tcW w:type="dxa" w:w="6350"/>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GOVERN/MAP/MEASURE/MANAGE control-by-control crosswalk with open items tracked (docs/governance/nist-ai-rmf-mapping-2026.md)</w:t>
            </w:r>
          </w:p>
        </w:tc>
      </w:tr>
      <w:tr>
        <w:tc>
          <w:tcPr>
            <w:tcW w:type="dxa" w:w="3061"/>
            <w:tcBorders>
              <w:top w:val="single" w:sz="4" w:color="D0D5DD"/>
              <w:bottom w:val="single" w:sz="4" w:color="D0D5DD"/>
              <w:left w:val="single" w:sz="4" w:color="D0D5DD"/>
              <w:right w:val="single" w:sz="4" w:color="D0D5DD"/>
            </w:tcBorders>
          </w:tcPr>
          <w:p>
            <w:pPr>
              <w:spacing w:before="20" w:after="20"/>
            </w:pPr>
            <w:r>
              <w:rPr>
                <w:b/>
                <w:i w:val="0"/>
                <w:color w:val="101828"/>
                <w:sz w:val="18"/>
              </w:rPr>
              <w:t>EU AI Act</w:t>
            </w:r>
          </w:p>
        </w:tc>
        <w:tc>
          <w:tcPr>
            <w:tcW w:type="dxa" w:w="6350"/>
            <w:tcBorders>
              <w:top w:val="single" w:sz="4" w:color="D0D5DD"/>
              <w:bottom w:val="single" w:sz="4" w:color="D0D5DD"/>
              <w:left w:val="single" w:sz="4" w:color="D0D5DD"/>
              <w:right w:val="single" w:sz="4" w:color="D0D5DD"/>
            </w:tcBorders>
          </w:tcPr>
          <w:p>
            <w:pPr>
              <w:spacing w:before="20" w:after="20"/>
            </w:pPr>
            <w:r>
              <w:rPr>
                <w:color w:val="475467"/>
                <w:sz w:val="18"/>
              </w:rPr>
              <w:t>Voluntary assessment: Advisor classified limited-risk (transparency obligations met — in-app AI disclosure), other assets minimal-risk; firm documented as outside territorial scope today, positioned for it (docs/governance/eu-ai-act-assessment-2026.md; data/ai-assets.json)</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FF4E0"/>
            <w:tcBorders>
              <w:left w:val="single" w:sz="24" w:color="B45309"/>
              <w:top w:val="single" w:sz="2" w:color="FFF4E0"/>
              <w:bottom w:val="single" w:sz="2" w:color="FFF4E0"/>
              <w:right w:val="single" w:sz="2" w:color="FFF4E0"/>
            </w:tcBorders>
          </w:tcPr>
          <w:p>
            <w:pPr>
              <w:spacing w:before="40" w:after="40"/>
            </w:pPr>
            <w:r>
              <w:rPr>
                <w:b/>
                <w:color w:val="101828"/>
                <w:sz w:val="20"/>
              </w:rPr>
              <w:t>FRAMEWORKS NOT CLAIMED</w:t>
              <w:br/>
            </w:r>
            <w:r>
              <w:rPr>
                <w:color w:val="475467"/>
                <w:sz w:val="20"/>
              </w:rPr>
              <w:t>Honest scoping for this audience: ISO/IEC 27001, SOC 2, FINRA, FCA, MAS and EU AMLD are NOT mapped in this repository — the platform's regulatory anchor is the UAE AML regime with FATF as the international spine, and its AI management standard of choice is ISO/IEC 42001 (self-assessed). Presenting only evidenced frameworks is deliberate: it mirrors the platform's own anti-overclaiming discipline and tells prospective clients in other jurisdictions exactly what a localisation exercise would add.</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09   </w:t>
      </w:r>
      <w:r>
        <w:rPr>
          <w:rFonts w:ascii="Calibri" w:hAnsi="Calibri"/>
          <w:b/>
          <w:color w:val="101828"/>
          <w:sz w:val="34"/>
        </w:rPr>
        <w:t>Business Benefits</w:t>
      </w:r>
    </w:p>
    <w:p>
      <w:pPr>
        <w:spacing w:after="200"/>
      </w:pPr>
      <w:r>
        <w:rPr>
          <w:b w:val="0"/>
          <w:i/>
          <w:color w:val="BE185D"/>
          <w:sz w:val="18"/>
        </w:rPr>
        <w:t>Maps to Slide 15 · Key message: the benefits with numbers today are the structural ones the code guarantees; the percentage claims are measurable next — and the KPI instrumentation to measure them already exists.</w:t>
      </w:r>
    </w:p>
    <w:p>
      <w:pPr>
        <w:spacing w:after="120"/>
      </w:pPr>
      <w:r>
        <w:rPr>
          <w:b w:val="0"/>
          <w:i w:val="0"/>
          <w:color w:val="475467"/>
          <w:sz w:val="21"/>
        </w:rPr>
        <w:t>A credibility note first, in the platform's own spirit: the repository guarantees frequencies, latencies, caps and costs by construction — these are quantified below as facts. Percentage-improvement claims (analyst hours saved, false-positive reduction) require baselining against the firm's pre-platform workload; the repository ships a 12-KPI dashboard specification (docs/executive/kpi-dashboard.md) for exactly that measurement. We recommend presenting the facts as commitments and the percentages as a measured 90-day follow-up.</w:t>
      </w:r>
    </w:p>
    <w:p>
      <w:pPr>
        <w:pStyle w:val="Heading2"/>
        <w:keepNext/>
      </w:pPr>
      <w:r>
        <w:rPr>
          <w:b/>
          <w:color w:val="BE185D"/>
        </w:rPr>
        <w:t xml:space="preserve">9.1  </w:t>
      </w:r>
      <w:r>
        <w:rPr>
          <w:b/>
          <w:color w:val="101828"/>
        </w:rPr>
        <w:t>Quantified today — guaranteed by construction</w:t>
      </w:r>
    </w:p>
    <w:p>
      <w:pPr>
        <w:spacing w:after="60"/>
        <w:keepNext/>
      </w:pPr>
      <w:r>
        <w:rPr>
          <w:b/>
          <w:i w:val="0"/>
          <w:color w:val="101828"/>
          <w:sz w:val="18"/>
        </w:rPr>
        <w:t>Table 12 — Benefits the code guarantees, independent of adoption behaviour</w:t>
      </w:r>
    </w:p>
    <w:tbl>
      <w:tblPr>
        <w:tblW w:type="auto" w:w="0"/>
        <w:jc w:val="center"/>
        <w:tblLayout w:type="fixed"/>
        <w:tblLook w:firstColumn="1" w:firstRow="1" w:lastColumn="0" w:lastRow="0" w:noHBand="0" w:noVBand="1" w:val="04A0"/>
      </w:tblPr>
      <w:tblGrid>
        <w:gridCol w:w="4706"/>
        <w:gridCol w:w="4706"/>
      </w:tblGrid>
      <w:tr>
        <w:tc>
          <w:tcPr>
            <w:tcW w:type="dxa" w:w="2608"/>
            <w:shd w:val="clear" w:fill="101828"/>
            <w:tcBorders>
              <w:top w:val="single" w:sz="4" w:color="98A2B3"/>
              <w:bottom w:val="single" w:sz="4" w:color="98A2B3"/>
              <w:left w:val="single" w:sz="4" w:color="98A2B3"/>
              <w:right w:val="single" w:sz="4" w:color="98A2B3"/>
            </w:tcBorders>
          </w:tcPr>
          <w:p>
            <w:pPr>
              <w:spacing w:before="40" w:after="40"/>
            </w:pPr>
            <w:r>
              <w:rPr>
                <w:b/>
                <w:color w:val="FFFFFF"/>
                <w:sz w:val="18"/>
              </w:rPr>
              <w:t>Benefit</w:t>
            </w:r>
          </w:p>
        </w:tc>
        <w:tc>
          <w:tcPr>
            <w:tcW w:type="dxa" w:w="6803"/>
            <w:shd w:val="clear" w:fill="101828"/>
            <w:tcBorders>
              <w:top w:val="single" w:sz="4" w:color="98A2B3"/>
              <w:bottom w:val="single" w:sz="4" w:color="98A2B3"/>
              <w:left w:val="single" w:sz="4" w:color="98A2B3"/>
              <w:right w:val="single" w:sz="4" w:color="98A2B3"/>
            </w:tcBorders>
          </w:tcPr>
          <w:p>
            <w:pPr>
              <w:spacing w:before="40" w:after="40"/>
            </w:pPr>
            <w:r>
              <w:rPr>
                <w:b/>
                <w:color w:val="FFFFFF"/>
                <w:sz w:val="18"/>
              </w:rPr>
              <w:t>Quantified fact (evidence)</w:t>
            </w:r>
          </w:p>
        </w:tc>
      </w:tr>
      <w:tr>
        <w:tc>
          <w:tcPr>
            <w:tcW w:type="dxa" w:w="2608"/>
            <w:tcBorders>
              <w:top w:val="single" w:sz="4" w:color="D0D5DD"/>
              <w:bottom w:val="single" w:sz="4" w:color="D0D5DD"/>
              <w:left w:val="single" w:sz="4" w:color="D0D5DD"/>
              <w:right w:val="single" w:sz="4" w:color="D0D5DD"/>
            </w:tcBorders>
          </w:tcPr>
          <w:p>
            <w:pPr>
              <w:spacing w:before="20" w:after="20"/>
            </w:pPr>
            <w:r>
              <w:rPr>
                <w:color w:val="475467"/>
                <w:sz w:val="18"/>
              </w:rPr>
              <w:t>Always-on screening coverage</w:t>
            </w:r>
          </w:p>
        </w:tc>
        <w:tc>
          <w:tcPr>
            <w:tcW w:type="dxa" w:w="6803"/>
            <w:tcBorders>
              <w:top w:val="single" w:sz="4" w:color="D0D5DD"/>
              <w:bottom w:val="single" w:sz="4" w:color="D0D5DD"/>
              <w:left w:val="single" w:sz="4" w:color="D0D5DD"/>
              <w:right w:val="single" w:sz="4" w:color="D0D5DD"/>
            </w:tcBorders>
          </w:tcPr>
          <w:p>
            <w:pPr>
              <w:spacing w:before="20" w:after="20"/>
            </w:pPr>
            <w:r>
              <w:rPr>
                <w:color w:val="475467"/>
                <w:sz w:val="18"/>
              </w:rPr>
              <w:t>100% of the customer book — every company and every recorded owner/director/UBO — screened daily in one pass; new customers screened within 6 hours of onboarding (weekly-adverse-media.yml daily cron; onboarding-screen.yml every 6h)</w:t>
            </w:r>
          </w:p>
        </w:tc>
      </w:tr>
      <w:tr>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Data cost</w:t>
            </w:r>
          </w:p>
        </w:tc>
        <w:tc>
          <w:tcPr>
            <w:tcW w:type="dxa" w:w="680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AED 0 in data-feed and licence fees: all six sanctions sources, news, GDELT, OpenSanctions and Wikidata tiers are free; the LLM is optional and firm-keyed (README 'free to run'; note: OpenSanctions bulk data is CC-BY-NC — commercial deployments need a licence, tracked in docs/aims/third-party-register.md)</w:t>
            </w:r>
          </w:p>
        </w:tc>
      </w:tr>
      <w:tr>
        <w:tc>
          <w:tcPr>
            <w:tcW w:type="dxa" w:w="2608"/>
            <w:tcBorders>
              <w:top w:val="single" w:sz="4" w:color="D0D5DD"/>
              <w:bottom w:val="single" w:sz="4" w:color="D0D5DD"/>
              <w:left w:val="single" w:sz="4" w:color="D0D5DD"/>
              <w:right w:val="single" w:sz="4" w:color="D0D5DD"/>
            </w:tcBorders>
          </w:tcPr>
          <w:p>
            <w:pPr>
              <w:spacing w:before="20" w:after="20"/>
            </w:pPr>
            <w:r>
              <w:rPr>
                <w:color w:val="475467"/>
                <w:sz w:val="18"/>
              </w:rPr>
              <w:t>Alert consolidation</w:t>
            </w:r>
          </w:p>
        </w:tc>
        <w:tc>
          <w:tcPr>
            <w:tcW w:type="dxa" w:w="6803"/>
            <w:tcBorders>
              <w:top w:val="single" w:sz="4" w:color="D0D5DD"/>
              <w:bottom w:val="single" w:sz="4" w:color="D0D5DD"/>
              <w:left w:val="single" w:sz="4" w:color="D0D5DD"/>
              <w:right w:val="single" w:sz="4" w:color="D0D5DD"/>
            </w:tcBorders>
          </w:tcPr>
          <w:p>
            <w:pPr>
              <w:spacing w:before="20" w:after="20"/>
            </w:pPr>
            <w:r>
              <w:rPr>
                <w:color w:val="475467"/>
                <w:sz w:val="18"/>
              </w:rPr>
              <w:t>One MLRO-ready unified report per day (delivered by 09:00 UAE) instead of per-source alert streams; duplicate stories merged across outlets before an analyst sees them</w:t>
            </w:r>
          </w:p>
        </w:tc>
      </w:tr>
      <w:tr>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Re-review elimination</w:t>
            </w:r>
          </w:p>
        </w:tc>
        <w:tc>
          <w:tcPr>
            <w:tcW w:type="dxa" w:w="680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Standing items are marked, never re-alerted: case subtasks open for NEW findings only — the delta engine's core guarantee (screen.py classify_deltas)</w:t>
            </w:r>
          </w:p>
        </w:tc>
      </w:tr>
      <w:tr>
        <w:tc>
          <w:tcPr>
            <w:tcW w:type="dxa" w:w="2608"/>
            <w:tcBorders>
              <w:top w:val="single" w:sz="4" w:color="D0D5DD"/>
              <w:bottom w:val="single" w:sz="4" w:color="D0D5DD"/>
              <w:left w:val="single" w:sz="4" w:color="D0D5DD"/>
              <w:right w:val="single" w:sz="4" w:color="D0D5DD"/>
            </w:tcBorders>
          </w:tcPr>
          <w:p>
            <w:pPr>
              <w:spacing w:before="20" w:after="20"/>
            </w:pPr>
            <w:r>
              <w:rPr>
                <w:color w:val="475467"/>
                <w:sz w:val="18"/>
              </w:rPr>
              <w:t>Investigation packaging</w:t>
            </w:r>
          </w:p>
        </w:tc>
        <w:tc>
          <w:tcPr>
            <w:tcW w:type="dxa" w:w="6803"/>
            <w:tcBorders>
              <w:top w:val="single" w:sz="4" w:color="D0D5DD"/>
              <w:bottom w:val="single" w:sz="4" w:color="D0D5DD"/>
              <w:left w:val="single" w:sz="4" w:color="D0D5DD"/>
              <w:right w:val="single" w:sz="4" w:color="D0D5DD"/>
            </w:tcBorders>
          </w:tcPr>
          <w:p>
            <w:pPr>
              <w:spacing w:before="20" w:after="20"/>
            </w:pPr>
            <w:r>
              <w:rPr>
                <w:color w:val="475467"/>
                <w:sz w:val="18"/>
              </w:rPr>
              <w:t>Every HIGH/confirmed case ships with rating factors, evidence links and a goAML STR draft attached — the assembly work is pre-done (screen.py open_mlro_cases)</w:t>
            </w:r>
          </w:p>
        </w:tc>
      </w:tr>
      <w:tr>
        <w:tc>
          <w:tcPr>
            <w:tcW w:type="dxa" w:w="2608"/>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Reliability of the control</w:t>
            </w:r>
          </w:p>
        </w:tc>
        <w:tc>
          <w:tcPr>
            <w:tcW w:type="dxa" w:w="6803"/>
            <w:tcBorders>
              <w:top w:val="single" w:sz="4" w:color="D0D5DD"/>
              <w:bottom w:val="single" w:sz="4" w:color="D0D5DD"/>
              <w:left w:val="single" w:sz="4" w:color="D0D5DD"/>
              <w:right w:val="single" w:sz="4" w:color="D0D5DD"/>
            </w:tcBorders>
            <w:shd w:val="clear" w:fill="F2F4F7"/>
          </w:tcPr>
          <w:p>
            <w:pPr>
              <w:spacing w:before="20" w:after="20"/>
            </w:pPr>
            <w:r>
              <w:rPr>
                <w:color w:val="475467"/>
                <w:sz w:val="18"/>
              </w:rPr>
              <w:t>A run that cannot screen never reports all-clear (hard exit codes 3/4/5, coverage floors, freshness alarm); delivery is 'unloseable' by design — worst-case sizing with shrink-retry and a delivery gate</w:t>
            </w:r>
          </w:p>
        </w:tc>
      </w:tr>
      <w:tr>
        <w:tc>
          <w:tcPr>
            <w:tcW w:type="dxa" w:w="2608"/>
            <w:tcBorders>
              <w:top w:val="single" w:sz="4" w:color="D0D5DD"/>
              <w:bottom w:val="single" w:sz="4" w:color="D0D5DD"/>
              <w:left w:val="single" w:sz="4" w:color="D0D5DD"/>
              <w:right w:val="single" w:sz="4" w:color="D0D5DD"/>
            </w:tcBorders>
          </w:tcPr>
          <w:p>
            <w:pPr>
              <w:spacing w:before="20" w:after="20"/>
            </w:pPr>
            <w:r>
              <w:rPr>
                <w:color w:val="475467"/>
                <w:sz w:val="18"/>
              </w:rPr>
              <w:t>Infrastructure cost</w:t>
            </w:r>
          </w:p>
        </w:tc>
        <w:tc>
          <w:tcPr>
            <w:tcW w:type="dxa" w:w="6803"/>
            <w:tcBorders>
              <w:top w:val="single" w:sz="4" w:color="D0D5DD"/>
              <w:bottom w:val="single" w:sz="4" w:color="D0D5DD"/>
              <w:left w:val="single" w:sz="4" w:color="D0D5DD"/>
              <w:right w:val="single" w:sz="4" w:color="D0D5DD"/>
            </w:tcBorders>
          </w:tcPr>
          <w:p>
            <w:pPr>
              <w:spacing w:before="20" w:after="20"/>
            </w:pPr>
            <w:r>
              <w:rPr>
                <w:color w:val="475467"/>
                <w:sz w:val="18"/>
              </w:rPr>
              <w:t>Zero servers to operate: static hosting + serverless functions + scheduled CI; the assessment app runs entirely on-device</w:t>
            </w:r>
          </w:p>
        </w:tc>
      </w:tr>
    </w:tbl>
    <w:p>
      <w:pPr>
        <w:spacing w:after="40"/>
      </w:pPr>
    </w:p>
    <w:p>
      <w:pPr>
        <w:pStyle w:val="Heading2"/>
        <w:keepNext/>
      </w:pPr>
      <w:r>
        <w:rPr>
          <w:b/>
          <w:color w:val="BE185D"/>
        </w:rPr>
        <w:t xml:space="preserve">9.2  </w:t>
      </w:r>
      <w:r>
        <w:rPr>
          <w:b/>
          <w:color w:val="101828"/>
        </w:rPr>
        <w:t>Measured next — the KPI instrumentation already exists</w:t>
      </w:r>
    </w:p>
    <w:p>
      <w:pPr>
        <w:spacing w:after="60"/>
        <w:keepNext/>
      </w:pPr>
      <w:r>
        <w:rPr>
          <w:b/>
          <w:i w:val="0"/>
          <w:color w:val="101828"/>
          <w:sz w:val="18"/>
        </w:rPr>
        <w:t>Table 13 — The eight requested benefit lines, each with its measurement path</w:t>
      </w:r>
    </w:p>
    <w:tbl>
      <w:tblPr>
        <w:tblW w:type="auto" w:w="0"/>
        <w:jc w:val="center"/>
        <w:tblLayout w:type="fixed"/>
        <w:tblLook w:firstColumn="1" w:firstRow="1" w:lastColumn="0" w:lastRow="0" w:noHBand="0" w:noVBand="1" w:val="04A0"/>
      </w:tblPr>
      <w:tblGrid>
        <w:gridCol w:w="3137"/>
        <w:gridCol w:w="3137"/>
        <w:gridCol w:w="3137"/>
      </w:tblGrid>
      <w:tr>
        <w:tc>
          <w:tcPr>
            <w:tcW w:type="dxa" w:w="204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Benefit</w:t>
            </w:r>
          </w:p>
        </w:tc>
        <w:tc>
          <w:tcPr>
            <w:tcW w:type="dxa" w:w="3742"/>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Mechanism in the platform</w:t>
            </w:r>
          </w:p>
        </w:tc>
        <w:tc>
          <w:tcPr>
            <w:tcW w:type="dxa" w:w="3628"/>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How to quantify (existing KPI spec)</w:t>
            </w:r>
          </w:p>
        </w:tc>
      </w:tr>
      <w:tr>
        <w:tc>
          <w:tcPr>
            <w:tcW w:type="dxa" w:w="2041"/>
            <w:tcBorders>
              <w:top w:val="single" w:sz="4" w:color="D0D5DD"/>
              <w:bottom w:val="single" w:sz="4" w:color="D0D5DD"/>
              <w:left w:val="single" w:sz="4" w:color="D0D5DD"/>
              <w:right w:val="single" w:sz="4" w:color="D0D5DD"/>
            </w:tcBorders>
          </w:tcPr>
          <w:p>
            <w:pPr>
              <w:spacing w:before="20" w:after="20"/>
            </w:pPr>
            <w:r>
              <w:rPr>
                <w:color w:val="475467"/>
                <w:sz w:val="17"/>
              </w:rPr>
              <w:t>Reduced investigation time</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Evidence bundles, triage labels, 'what to check' notes, drafted dossiers</w:t>
            </w:r>
          </w:p>
        </w:tc>
        <w:tc>
          <w:tcPr>
            <w:tcW w:type="dxa" w:w="3628"/>
            <w:tcBorders>
              <w:top w:val="single" w:sz="4" w:color="D0D5DD"/>
              <w:bottom w:val="single" w:sz="4" w:color="D0D5DD"/>
              <w:left w:val="single" w:sz="4" w:color="D0D5DD"/>
              <w:right w:val="single" w:sz="4" w:color="D0D5DD"/>
            </w:tcBorders>
          </w:tcPr>
          <w:p>
            <w:pPr>
              <w:spacing w:before="20" w:after="20"/>
            </w:pPr>
            <w:r>
              <w:rPr>
                <w:color w:val="475467"/>
                <w:sz w:val="17"/>
              </w:rPr>
              <w:t>Baseline minutes-per-alert pre/post; target via kpi-dashboard.md monthly log</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Improved analyst productivity</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Delta-first reports; priority-ordered subtasks; register portfolio view</w:t>
            </w:r>
          </w:p>
        </w:tc>
        <w:tc>
          <w:tcPr>
            <w:tcW w:type="dxa" w:w="3628"/>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Alerts dispositioned per analyst-day; backlog-days KRI (kri_alert_backlog_days)</w:t>
            </w:r>
          </w:p>
        </w:tc>
      </w:tr>
      <w:tr>
        <w:tc>
          <w:tcPr>
            <w:tcW w:type="dxa" w:w="2041"/>
            <w:tcBorders>
              <w:top w:val="single" w:sz="4" w:color="D0D5DD"/>
              <w:bottom w:val="single" w:sz="4" w:color="D0D5DD"/>
              <w:left w:val="single" w:sz="4" w:color="D0D5DD"/>
              <w:right w:val="single" w:sz="4" w:color="D0D5DD"/>
            </w:tcBorders>
          </w:tcPr>
          <w:p>
            <w:pPr>
              <w:spacing w:before="20" w:after="20"/>
            </w:pPr>
            <w:r>
              <w:rPr>
                <w:color w:val="475467"/>
                <w:sz w:val="17"/>
              </w:rPr>
              <w:t>Reduction in false positives</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min(full, core) matching; stopword suppression; graded confidence tiers; tunable SCREEN_MATCH_THRESHOLD</w:t>
            </w:r>
          </w:p>
        </w:tc>
        <w:tc>
          <w:tcPr>
            <w:tcW w:type="dxa" w:w="3628"/>
            <w:tcBorders>
              <w:top w:val="single" w:sz="4" w:color="D0D5DD"/>
              <w:bottom w:val="single" w:sz="4" w:color="D0D5DD"/>
              <w:left w:val="single" w:sz="4" w:color="D0D5DD"/>
              <w:right w:val="single" w:sz="4" w:color="D0D5DD"/>
            </w:tcBorders>
          </w:tcPr>
          <w:p>
            <w:pPr>
              <w:spacing w:before="20" w:after="20"/>
            </w:pPr>
            <w:r>
              <w:rPr>
                <w:color w:val="475467"/>
                <w:sz w:val="17"/>
              </w:rPr>
              <w:t>False-positive rate per 100 screenings; threshold tuning evidence retained in git</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Better consistency</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Deterministic scoring engines; one-way overrides with justifications; narrative templates</w:t>
            </w:r>
          </w:p>
        </w:tc>
        <w:tc>
          <w:tcPr>
            <w:tcW w:type="dxa" w:w="3628"/>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Override rate and inter-analyst variance from the register export</w:t>
            </w:r>
          </w:p>
        </w:tc>
      </w:tr>
      <w:tr>
        <w:tc>
          <w:tcPr>
            <w:tcW w:type="dxa" w:w="2041"/>
            <w:tcBorders>
              <w:top w:val="single" w:sz="4" w:color="D0D5DD"/>
              <w:bottom w:val="single" w:sz="4" w:color="D0D5DD"/>
              <w:left w:val="single" w:sz="4" w:color="D0D5DD"/>
              <w:right w:val="single" w:sz="4" w:color="D0D5DD"/>
            </w:tcBorders>
          </w:tcPr>
          <w:p>
            <w:pPr>
              <w:spacing w:before="20" w:after="20"/>
            </w:pPr>
            <w:r>
              <w:rPr>
                <w:color w:val="475467"/>
                <w:sz w:val="17"/>
              </w:rPr>
              <w:t>Faster onboarding</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6-hour onboarding screen; CDD gap list generated on day one</w:t>
            </w:r>
          </w:p>
        </w:tc>
        <w:tc>
          <w:tcPr>
            <w:tcW w:type="dxa" w:w="3628"/>
            <w:tcBorders>
              <w:top w:val="single" w:sz="4" w:color="D0D5DD"/>
              <w:bottom w:val="single" w:sz="4" w:color="D0D5DD"/>
              <w:left w:val="single" w:sz="4" w:color="D0D5DD"/>
              <w:right w:val="single" w:sz="4" w:color="D0D5DD"/>
            </w:tcBorders>
          </w:tcPr>
          <w:p>
            <w:pPr>
              <w:spacing w:before="20" w:after="20"/>
            </w:pPr>
            <w:r>
              <w:rPr>
                <w:color w:val="475467"/>
                <w:sz w:val="17"/>
              </w:rPr>
              <w:t>Time-to-clear per new customer; CDD-gap closure time</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Improved regulatory readiness</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Show-me evidence map (docs/executive/regulatory-readiness.md); per-run attestations; 3.9/5 self-assessed readiness score</w:t>
            </w:r>
          </w:p>
        </w:tc>
        <w:tc>
          <w:tcPr>
            <w:tcW w:type="dxa" w:w="3628"/>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Artifact-retrieval time in mock inspection; open-items count trend</w:t>
            </w:r>
          </w:p>
        </w:tc>
      </w:tr>
      <w:tr>
        <w:tc>
          <w:tcPr>
            <w:tcW w:type="dxa" w:w="2041"/>
            <w:tcBorders>
              <w:top w:val="single" w:sz="4" w:color="D0D5DD"/>
              <w:bottom w:val="single" w:sz="4" w:color="D0D5DD"/>
              <w:left w:val="single" w:sz="4" w:color="D0D5DD"/>
              <w:right w:val="single" w:sz="4" w:color="D0D5DD"/>
            </w:tcBorders>
          </w:tcPr>
          <w:p>
            <w:pPr>
              <w:spacing w:before="20" w:after="20"/>
            </w:pPr>
            <w:r>
              <w:rPr>
                <w:color w:val="475467"/>
                <w:sz w:val="17"/>
              </w:rPr>
              <w:t>Lower operational costs</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No data feeds, no servers, no per-seat screening licences</w:t>
            </w:r>
          </w:p>
        </w:tc>
        <w:tc>
          <w:tcPr>
            <w:tcW w:type="dxa" w:w="3628"/>
            <w:tcBorders>
              <w:top w:val="single" w:sz="4" w:color="D0D5DD"/>
              <w:bottom w:val="single" w:sz="4" w:color="D0D5DD"/>
              <w:left w:val="single" w:sz="4" w:color="D0D5DD"/>
              <w:right w:val="single" w:sz="4" w:color="D0D5DD"/>
            </w:tcBorders>
          </w:tcPr>
          <w:p>
            <w:pPr>
              <w:spacing w:before="20" w:after="20"/>
            </w:pPr>
            <w:r>
              <w:rPr>
                <w:color w:val="475467"/>
                <w:sz w:val="17"/>
              </w:rPr>
              <w:t>Total cost of control vs commercial screening stack quote</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Better customer experience</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Faster clearance of good customers; fewer repeat document requests (gaps identified once, tracked to closure)</w:t>
            </w:r>
          </w:p>
        </w:tc>
        <w:tc>
          <w:tcPr>
            <w:tcW w:type="dxa" w:w="3628"/>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Onboarding cycle time; repeat-outreach count per customer</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E8F0FE"/>
            <w:tcBorders>
              <w:left w:val="single" w:sz="24" w:color="1D4ED8"/>
              <w:top w:val="single" w:sz="2" w:color="E8F0FE"/>
              <w:bottom w:val="single" w:sz="2" w:color="E8F0FE"/>
              <w:right w:val="single" w:sz="2" w:color="E8F0FE"/>
            </w:tcBorders>
          </w:tcPr>
          <w:p>
            <w:pPr>
              <w:spacing w:before="40" w:after="40"/>
            </w:pPr>
            <w:r>
              <w:rPr>
                <w:b/>
                <w:color w:val="101828"/>
                <w:sz w:val="20"/>
              </w:rPr>
              <w:t>POWERPOINT GRAPHIC — SLIDE 15</w:t>
              <w:br/>
            </w:r>
            <w:r>
              <w:rPr>
                <w:color w:val="475467"/>
                <w:sz w:val="20"/>
              </w:rPr>
              <w:t>Suggested slide graphic: a 'two ledgers' layout — left ledger 'Guaranteed today' with the seven quantified facts as bold stat tiles (100% book daily · 6h onboarding · 1 report/day · AED 0 data fees · 0 silent failures); right ledger 'Measured next' listing the eight KPIs with a 90-day measurement commitment. This framing converts honesty into credibility.</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10   </w:t>
      </w:r>
      <w:r>
        <w:rPr>
          <w:rFonts w:ascii="Calibri" w:hAnsi="Calibri"/>
          <w:b/>
          <w:color w:val="101828"/>
          <w:sz w:val="34"/>
        </w:rPr>
        <w:t>Technical Architecture</w:t>
      </w:r>
    </w:p>
    <w:p>
      <w:pPr>
        <w:spacing w:after="200"/>
      </w:pPr>
      <w:r>
        <w:rPr>
          <w:b w:val="0"/>
          <w:i/>
          <w:color w:val="BE185D"/>
          <w:sz w:val="18"/>
        </w:rPr>
        <w:t>Maps to Slide 16 · Key message: five trust tiers, two tightly-controlled egress paths, zero secrets in the browser — an architecture a security reviewer can verify from the repository itself.</w:t>
      </w:r>
    </w:p>
    <w:p>
      <w:pPr>
        <w:jc w:val="center"/>
        <w:keepNext/>
      </w:pPr>
      <w:r>
        <w:drawing>
          <wp:inline xmlns:a="http://schemas.openxmlformats.org/drawingml/2006/main" xmlns:pic="http://schemas.openxmlformats.org/drawingml/2006/picture">
            <wp:extent cx="5903999" cy="1408366"/>
            <wp:docPr id="4" name="Picture 4"/>
            <wp:cNvGraphicFramePr>
              <a:graphicFrameLocks noChangeAspect="1"/>
            </wp:cNvGraphicFramePr>
            <a:graphic>
              <a:graphicData uri="http://schemas.openxmlformats.org/drawingml/2006/picture">
                <pic:pic>
                  <pic:nvPicPr>
                    <pic:cNvPr id="0" name="d4-architecture.png"/>
                    <pic:cNvPicPr/>
                  </pic:nvPicPr>
                  <pic:blipFill>
                    <a:blip r:embed="rId13"/>
                    <a:stretch>
                      <a:fillRect/>
                    </a:stretch>
                  </pic:blipFill>
                  <pic:spPr>
                    <a:xfrm>
                      <a:off x="0" y="0"/>
                      <a:ext cx="5903999" cy="1408366"/>
                    </a:xfrm>
                    <a:prstGeom prst="rect"/>
                  </pic:spPr>
                </pic:pic>
              </a:graphicData>
            </a:graphic>
          </wp:inline>
        </w:drawing>
      </w:r>
    </w:p>
    <w:p>
      <w:pPr>
        <w:spacing w:after="200"/>
        <w:jc w:val="center"/>
      </w:pPr>
      <w:r>
        <w:rPr>
          <w:b/>
          <w:i w:val="0"/>
          <w:color w:val="101828"/>
          <w:sz w:val="18"/>
        </w:rPr>
        <w:t>Figure 4 — End-to-end technical architecture with trust zones and the two governed LLM egress paths</w:t>
      </w:r>
    </w:p>
    <w:p>
      <w:pPr>
        <w:pStyle w:val="Heading2"/>
        <w:keepNext/>
      </w:pPr>
      <w:r>
        <w:rPr>
          <w:b/>
          <w:color w:val="BE185D"/>
        </w:rPr>
        <w:t xml:space="preserve">10.1  </w:t>
      </w:r>
      <w:r>
        <w:rPr>
          <w:b/>
          <w:color w:val="101828"/>
        </w:rPr>
        <w:t>Architecture by layer</w:t>
      </w:r>
    </w:p>
    <w:p>
      <w:pPr>
        <w:spacing w:after="60"/>
        <w:keepNext/>
      </w:pPr>
      <w:r>
        <w:rPr>
          <w:b/>
          <w:i w:val="0"/>
          <w:color w:val="101828"/>
          <w:sz w:val="18"/>
        </w:rPr>
        <w:t>Table 14 — The eleven requested architecture concerns, layer by layer</w:t>
      </w:r>
    </w:p>
    <w:tbl>
      <w:tblPr>
        <w:tblW w:type="auto" w:w="0"/>
        <w:jc w:val="center"/>
        <w:tblLayout w:type="fixed"/>
        <w:tblLook w:firstColumn="1" w:firstRow="1" w:lastColumn="0" w:lastRow="0" w:noHBand="0" w:noVBand="1" w:val="04A0"/>
      </w:tblPr>
      <w:tblGrid>
        <w:gridCol w:w="3137"/>
        <w:gridCol w:w="3137"/>
        <w:gridCol w:w="3137"/>
      </w:tblGrid>
      <w:tr>
        <w:tc>
          <w:tcPr>
            <w:tcW w:type="dxa" w:w="1701"/>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Layer</w:t>
            </w:r>
          </w:p>
        </w:tc>
        <w:tc>
          <w:tcPr>
            <w:tcW w:type="dxa" w:w="3515"/>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Components</w:t>
            </w:r>
          </w:p>
        </w:tc>
        <w:tc>
          <w:tcPr>
            <w:tcW w:type="dxa" w:w="4195"/>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Security &amp; governance properties</w:t>
            </w:r>
          </w:p>
        </w:tc>
      </w:tr>
      <w:tr>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Frontend (user device)</w:t>
            </w:r>
          </w:p>
        </w:tc>
        <w:tc>
          <w:tcPr>
            <w:tcW w:type="dxa" w:w="3515"/>
            <w:tcBorders>
              <w:top w:val="single" w:sz="4" w:color="D0D5DD"/>
              <w:bottom w:val="single" w:sz="4" w:color="D0D5DD"/>
              <w:left w:val="single" w:sz="4" w:color="D0D5DD"/>
              <w:right w:val="single" w:sz="4" w:color="D0D5DD"/>
            </w:tcBorders>
          </w:tcPr>
          <w:p>
            <w:pPr>
              <w:spacing w:before="20" w:after="20"/>
            </w:pPr>
            <w:r>
              <w:rPr>
                <w:color w:val="475467"/>
                <w:sz w:val="17"/>
              </w:rPr>
              <w:t>Three static pages — index.html (assessment), console.html (operations HUD), advisor.html (Q&amp;A) with app.js / console.js / advisor.js; no framework, no build step</w:t>
            </w:r>
          </w:p>
        </w:tc>
        <w:tc>
          <w:tcPr>
            <w:tcW w:type="dxa" w:w="4195"/>
            <w:tcBorders>
              <w:top w:val="single" w:sz="4" w:color="D0D5DD"/>
              <w:bottom w:val="single" w:sz="4" w:color="D0D5DD"/>
              <w:left w:val="single" w:sz="4" w:color="D0D5DD"/>
              <w:right w:val="single" w:sz="4" w:color="D0D5DD"/>
            </w:tcBorders>
          </w:tcPr>
          <w:p>
            <w:pPr>
              <w:spacing w:before="20" w:after="20"/>
            </w:pPr>
            <w:r>
              <w:rPr>
                <w:color w:val="475467"/>
                <w:sz w:val="17"/>
              </w:rPr>
              <w:t>Pure-'self' Content-Security-Policy (no inline script/style, no third-party origins); self-hosted fonts; untrusted tier — holds no secrets</w:t>
            </w:r>
          </w:p>
        </w:tc>
      </w:tr>
      <w:tr>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On-device data &amp; crypto</w:t>
            </w:r>
          </w:p>
        </w:tc>
        <w:tc>
          <w:tcPr>
            <w:tcW w:type="dxa" w:w="351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localStorage persistence: assessments, register, risk-data overrides, activity log</w:t>
            </w:r>
          </w:p>
        </w:tc>
        <w:tc>
          <w:tcPr>
            <w:tcW w:type="dxa" w:w="419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AES-256-GCM encryption (WebCrypto), PBKDF2 250k-iteration key derivation, idle auto-lock, SHA-256 hash-chained tamper-evident log</w:t>
            </w:r>
          </w:p>
        </w:tc>
      </w:tr>
      <w:tr>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Backend (serverless)</w:t>
            </w:r>
          </w:p>
        </w:tc>
        <w:tc>
          <w:tcPr>
            <w:tcW w:type="dxa" w:w="3515"/>
            <w:tcBorders>
              <w:top w:val="single" w:sz="4" w:color="D0D5DD"/>
              <w:bottom w:val="single" w:sz="4" w:color="D0D5DD"/>
              <w:left w:val="single" w:sz="4" w:color="D0D5DD"/>
              <w:right w:val="single" w:sz="4" w:color="D0D5DD"/>
            </w:tcBorders>
          </w:tcPr>
          <w:p>
            <w:pPr>
              <w:spacing w:before="20" w:after="20"/>
            </w:pPr>
            <w:r>
              <w:rPr>
                <w:color w:val="475467"/>
                <w:sz w:val="17"/>
              </w:rPr>
              <w:t>Netlify Functions: asana-task / asana-mirror / risk-backup relays; brain-soul (LLM core); csp-report; shared _auth and _ratelimit</w:t>
            </w:r>
          </w:p>
        </w:tc>
        <w:tc>
          <w:tcPr>
            <w:tcW w:type="dxa" w:w="4195"/>
            <w:tcBorders>
              <w:top w:val="single" w:sz="4" w:color="D0D5DD"/>
              <w:bottom w:val="single" w:sz="4" w:color="D0D5DD"/>
              <w:left w:val="single" w:sz="4" w:color="D0D5DD"/>
              <w:right w:val="single" w:sz="4" w:color="D0D5DD"/>
            </w:tcBorders>
          </w:tcPr>
          <w:p>
            <w:pPr>
              <w:spacing w:before="20" w:after="20"/>
            </w:pPr>
            <w:r>
              <w:rPr>
                <w:color w:val="475467"/>
                <w:sz w:val="17"/>
              </w:rPr>
              <w:t>Trusted tier holding ANTHROPIC_API_KEY and ASANA token; origin allow-list, optional strict X-App-Token mode, per-IP rate limits (LLM endpoint 10/min), 100KB body caps, upstream errors never reflected</w:t>
            </w:r>
          </w:p>
        </w:tc>
      </w:tr>
      <w:tr>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AI services</w:t>
            </w:r>
          </w:p>
        </w:tc>
        <w:tc>
          <w:tcPr>
            <w:tcW w:type="dxa" w:w="351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brain-soul.js three-tier Claude router; ai.py LLM gateway (triage/summaries); scripts/reg-draft.mjs PR drafter; assurance evals (advisor-eval, bias evals)</w:t>
            </w:r>
          </w:p>
        </w:tc>
        <w:tc>
          <w:tcPr>
            <w:tcW w:type="dxa" w:w="419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All key-gated; kill switches; seven runtime guards + audit line; fail-closed production flags (LLM_TRIAGE=0); deterministic fallbacks everywhere</w:t>
            </w:r>
          </w:p>
        </w:tc>
      </w:tr>
      <w:tr>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LLMs (external service)</w:t>
            </w:r>
          </w:p>
        </w:tc>
        <w:tc>
          <w:tcPr>
            <w:tcW w:type="dxa" w:w="3515"/>
            <w:tcBorders>
              <w:top w:val="single" w:sz="4" w:color="D0D5DD"/>
              <w:bottom w:val="single" w:sz="4" w:color="D0D5DD"/>
              <w:left w:val="single" w:sz="4" w:color="D0D5DD"/>
              <w:right w:val="single" w:sz="4" w:color="D0D5DD"/>
            </w:tcBorders>
          </w:tcPr>
          <w:p>
            <w:pPr>
              <w:spacing w:before="20" w:after="20"/>
            </w:pPr>
            <w:r>
              <w:rPr>
                <w:color w:val="475467"/>
                <w:sz w:val="17"/>
              </w:rPr>
              <w:t>Anthropic API — claude-haiku-4-5-20251001, claude-sonnet-4-6, claude-opus-4-8</w:t>
            </w:r>
          </w:p>
        </w:tc>
        <w:tc>
          <w:tcPr>
            <w:tcW w:type="dxa" w:w="4195"/>
            <w:tcBorders>
              <w:top w:val="single" w:sz="4" w:color="D0D5DD"/>
              <w:bottom w:val="single" w:sz="4" w:color="D0D5DD"/>
              <w:left w:val="single" w:sz="4" w:color="D0D5DD"/>
              <w:right w:val="single" w:sz="4" w:color="D0D5DD"/>
            </w:tcBorders>
          </w:tcPr>
          <w:p>
            <w:pPr>
              <w:spacing w:before="20" w:after="20"/>
            </w:pPr>
            <w:r>
              <w:rPr>
                <w:color w:val="475467"/>
                <w:sz w:val="17"/>
              </w:rPr>
              <w:t>Consumed over HTTPS with pinned API version; transient processing, no-training documented; two narrow egress shapes: Advisor question+context (≤6KB) and, when enabled, subject name + one headline</w:t>
            </w:r>
          </w:p>
        </w:tc>
      </w:tr>
      <w:tr>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Databases / data stores</w:t>
            </w:r>
          </w:p>
        </w:tc>
        <w:tc>
          <w:tcPr>
            <w:tcW w:type="dxa" w:w="351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No conventional database by design. Stores: encrypted browser localStorage; Asana projects (customer base, cases, registers); git-versioned JSON state under data/ (delta state, evidence log, metrics, list baselines)</w:t>
            </w:r>
          </w:p>
        </w:tc>
        <w:tc>
          <w:tcPr>
            <w:tcW w:type="dxa" w:w="419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Each store documented with owner, retention and lineage (docs/governance/data-retention.md); state writes atomic and delivery-gated</w:t>
            </w:r>
          </w:p>
        </w:tc>
      </w:tr>
      <w:tr>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API integrations</w:t>
            </w:r>
          </w:p>
        </w:tc>
        <w:tc>
          <w:tcPr>
            <w:tcW w:type="dxa" w:w="3515"/>
            <w:tcBorders>
              <w:top w:val="single" w:sz="4" w:color="D0D5DD"/>
              <w:bottom w:val="single" w:sz="4" w:color="D0D5DD"/>
              <w:left w:val="single" w:sz="4" w:color="D0D5DD"/>
              <w:right w:val="single" w:sz="4" w:color="D0D5DD"/>
            </w:tcBorders>
          </w:tcPr>
          <w:p>
            <w:pPr>
              <w:spacing w:before="20" w:after="20"/>
            </w:pPr>
            <w:r>
              <w:rPr>
                <w:color w:val="475467"/>
                <w:sz w:val="17"/>
              </w:rPr>
              <w:t>Sanctions list endpoints (OFAC, UN, UK OFSI, EU FSF, Canada SEMA) + OpenSanctions mirrors; Google News RSS, GDELT; Wikidata; Asana API; Anthropic API; archive.org (reg-watch snapshots)</w:t>
            </w:r>
          </w:p>
        </w:tc>
        <w:tc>
          <w:tcPr>
            <w:tcW w:type="dxa" w:w="4195"/>
            <w:tcBorders>
              <w:top w:val="single" w:sz="4" w:color="D0D5DD"/>
              <w:bottom w:val="single" w:sz="4" w:color="D0D5DD"/>
              <w:left w:val="single" w:sz="4" w:color="D0D5DD"/>
              <w:right w:val="single" w:sz="4" w:color="D0D5DD"/>
            </w:tcBorders>
          </w:tcPr>
          <w:p>
            <w:pPr>
              <w:spacing w:before="20" w:after="20"/>
            </w:pPr>
            <w:r>
              <w:rPr>
                <w:color w:val="475467"/>
                <w:sz w:val="17"/>
              </w:rPr>
              <w:t>All fetched content treated as untrusted; provenance recorded per source (live vs mirror); rate gates and circuit breakers per feed</w:t>
            </w:r>
          </w:p>
        </w:tc>
      </w:tr>
      <w:tr>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Compliance engines</w:t>
            </w:r>
          </w:p>
        </w:tc>
        <w:tc>
          <w:tcPr>
            <w:tcW w:type="dxa" w:w="351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app.js 0–30 scoring engine; screen.py screening engine; ai.py rating/triage; kyc.py CDD; txn_monitor.py rules (inert until feed); str_dossier.py goAML assembler; scripts/*.mjs watchdog fleet</w:t>
            </w:r>
          </w:p>
        </w:tc>
        <w:tc>
          <w:tcPr>
            <w:tcW w:type="dxa" w:w="419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Deterministic, threshold-visible, unit/golden/property tested; hard-outcome logic cannot be weakened by overrides</w:t>
            </w:r>
          </w:p>
        </w:tc>
      </w:tr>
      <w:tr>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Authentication &amp; authorization</w:t>
            </w:r>
          </w:p>
        </w:tc>
        <w:tc>
          <w:tcPr>
            <w:tcW w:type="dxa" w:w="3515"/>
            <w:tcBorders>
              <w:top w:val="single" w:sz="4" w:color="D0D5DD"/>
              <w:bottom w:val="single" w:sz="4" w:color="D0D5DD"/>
              <w:left w:val="single" w:sz="4" w:color="D0D5DD"/>
              <w:right w:val="single" w:sz="4" w:color="D0D5DD"/>
            </w:tcBorders>
          </w:tcPr>
          <w:p>
            <w:pPr>
              <w:spacing w:before="20" w:after="20"/>
            </w:pPr>
            <w:r>
              <w:rPr>
                <w:color w:val="475467"/>
                <w:sz w:val="17"/>
              </w:rPr>
              <w:t>Device passphrase gate; Netlify origin/token gates; agent-level action allow-lists with credential broker; GitHub OIDC for releases</w:t>
            </w:r>
          </w:p>
        </w:tc>
        <w:tc>
          <w:tcPr>
            <w:tcW w:type="dxa" w:w="4195"/>
            <w:tcBorders>
              <w:top w:val="single" w:sz="4" w:color="D0D5DD"/>
              <w:bottom w:val="single" w:sz="4" w:color="D0D5DD"/>
              <w:left w:val="single" w:sz="4" w:color="D0D5DD"/>
              <w:right w:val="single" w:sz="4" w:color="D0D5DD"/>
            </w:tcBorders>
          </w:tcPr>
          <w:p>
            <w:pPr>
              <w:spacing w:before="20" w:after="20"/>
            </w:pPr>
            <w:r>
              <w:rPr>
                <w:color w:val="475467"/>
                <w:sz w:val="17"/>
              </w:rPr>
              <w:t>Least-privilege pattern end-to-end; secrets never client-side (Semgrep-enforced invariant)</w:t>
            </w:r>
          </w:p>
        </w:tc>
      </w:tr>
      <w:tr>
        <w:tc>
          <w:tcPr>
            <w:tcW w:type="dxa" w:w="1701"/>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Logging &amp; monitoring</w:t>
            </w:r>
          </w:p>
        </w:tc>
        <w:tc>
          <w:tcPr>
            <w:tcW w:type="dxa" w:w="351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monitoring.py baselines + anomaly-watch issue escalation; Advisor audit lines; agent logs; freshness-check alarm; site-health robot; function-health checks; Lighthouse/a11y/visual CI</w:t>
            </w:r>
          </w:p>
        </w:tc>
        <w:tc>
          <w:tcPr>
            <w:tcW w:type="dxa" w:w="419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Drift detection on the control itself; every mandatory-daily control failure raises a loud alarm</w:t>
            </w:r>
          </w:p>
        </w:tc>
      </w:tr>
      <w:tr>
        <w:tc>
          <w:tcPr>
            <w:tcW w:type="dxa" w:w="1701"/>
            <w:tcBorders>
              <w:top w:val="single" w:sz="4" w:color="D0D5DD"/>
              <w:bottom w:val="single" w:sz="4" w:color="D0D5DD"/>
              <w:left w:val="single" w:sz="4" w:color="D0D5DD"/>
              <w:right w:val="single" w:sz="4" w:color="D0D5DD"/>
            </w:tcBorders>
          </w:tcPr>
          <w:p>
            <w:pPr>
              <w:spacing w:before="20" w:after="20"/>
            </w:pPr>
            <w:r>
              <w:rPr>
                <w:color w:val="475467"/>
                <w:sz w:val="17"/>
              </w:rPr>
              <w:t>Supply chain &amp; release</w:t>
            </w:r>
          </w:p>
        </w:tc>
        <w:tc>
          <w:tcPr>
            <w:tcW w:type="dxa" w:w="3515"/>
            <w:tcBorders>
              <w:top w:val="single" w:sz="4" w:color="D0D5DD"/>
              <w:bottom w:val="single" w:sz="4" w:color="D0D5DD"/>
              <w:left w:val="single" w:sz="4" w:color="D0D5DD"/>
              <w:right w:val="single" w:sz="4" w:color="D0D5DD"/>
            </w:tcBorders>
          </w:tcPr>
          <w:p>
            <w:pPr>
              <w:spacing w:before="20" w:after="20"/>
            </w:pPr>
            <w:r>
              <w:rPr>
                <w:color w:val="475467"/>
                <w:sz w:val="17"/>
              </w:rPr>
              <w:t>47 GitHub Actions workflows; CodeQL + Semgrep (custom invariants) + gitleaks + OSV + dependency review; CycloneDX SBOM; Sigstore keyless build provenance; digest-pinned Docker base; hash-locked Python deps</w:t>
            </w:r>
          </w:p>
        </w:tc>
        <w:tc>
          <w:tcPr>
            <w:tcW w:type="dxa" w:w="4195"/>
            <w:tcBorders>
              <w:top w:val="single" w:sz="4" w:color="D0D5DD"/>
              <w:bottom w:val="single" w:sz="4" w:color="D0D5DD"/>
              <w:left w:val="single" w:sz="4" w:color="D0D5DD"/>
              <w:right w:val="single" w:sz="4" w:color="D0D5DD"/>
            </w:tcBorders>
          </w:tcPr>
          <w:p>
            <w:pPr>
              <w:spacing w:before="20" w:after="20"/>
            </w:pPr>
            <w:r>
              <w:rPr>
                <w:color w:val="475467"/>
                <w:sz w:val="17"/>
              </w:rPr>
              <w:t>OpenSSF Scorecard tracked with milestone automation; releases verifiable via gh attestation verify</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FF4E0"/>
            <w:tcBorders>
              <w:left w:val="single" w:sz="24" w:color="B45309"/>
              <w:top w:val="single" w:sz="2" w:color="FFF4E0"/>
              <w:bottom w:val="single" w:sz="2" w:color="FFF4E0"/>
              <w:right w:val="single" w:sz="2" w:color="FFF4E0"/>
            </w:tcBorders>
          </w:tcPr>
          <w:p>
            <w:pPr>
              <w:spacing w:before="40" w:after="40"/>
            </w:pPr>
            <w:r>
              <w:rPr>
                <w:b/>
                <w:color w:val="101828"/>
                <w:sz w:val="20"/>
              </w:rPr>
              <w:t>WHAT IS DELIBERATELY ABSENT</w:t>
              <w:br/>
            </w:r>
            <w:r>
              <w:rPr>
                <w:color w:val="475467"/>
                <w:sz w:val="20"/>
              </w:rPr>
              <w:t>Explicit absences (by design, documented in the gap analysis): no vector database, no SSO/central IAM, no server-side user database — the platform deliberately has no backend of record beyond Asana and git. The architecture documentation (docs/architecture.md) includes a STRIDE threat model per trust boundary and a 'what crosses each boundary and the control' table.</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11   </w:t>
      </w:r>
      <w:r>
        <w:rPr>
          <w:rFonts w:ascii="Calibri" w:hAnsi="Calibri"/>
          <w:b/>
          <w:color w:val="101828"/>
          <w:sz w:val="34"/>
        </w:rPr>
        <w:t>Repository Mapping</w:t>
      </w:r>
    </w:p>
    <w:p>
      <w:pPr>
        <w:spacing w:after="200"/>
      </w:pPr>
      <w:r>
        <w:rPr>
          <w:b w:val="0"/>
          <w:i/>
          <w:color w:val="BE185D"/>
          <w:sz w:val="18"/>
        </w:rPr>
        <w:t>Maps to Slide 17 (optional appendix slide) · Key message: every folder has a business function; the AI-involved paths are a small, well-marked subset.</w:t>
      </w:r>
    </w:p>
    <w:p>
      <w:pPr>
        <w:spacing w:after="60"/>
        <w:keepNext/>
      </w:pPr>
      <w:r>
        <w:rPr>
          <w:b/>
          <w:i w:val="0"/>
          <w:color w:val="101828"/>
          <w:sz w:val="18"/>
        </w:rPr>
        <w:t>Table 15 — Complete repository map — purpose, business function, AI involvement, compliance contribution</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041"/>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Repository area</w:t>
            </w:r>
          </w:p>
        </w:tc>
        <w:tc>
          <w:tcPr>
            <w:tcW w:type="dxa" w:w="1644"/>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Purpose</w:t>
            </w:r>
          </w:p>
        </w:tc>
        <w:tc>
          <w:tcPr>
            <w:tcW w:type="dxa" w:w="1928"/>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Business function</w:t>
            </w:r>
          </w:p>
        </w:tc>
        <w:tc>
          <w:tcPr>
            <w:tcW w:type="dxa" w:w="1928"/>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AI involvement</w:t>
            </w:r>
          </w:p>
        </w:tc>
        <w:tc>
          <w:tcPr>
            <w:tcW w:type="dxa" w:w="1871"/>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Compliance contribution</w:t>
            </w:r>
          </w:p>
        </w:tc>
      </w:tr>
      <w:tr>
        <w:tc>
          <w:tcPr>
            <w:tcW w:type="dxa" w:w="204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5"/>
              </w:rPr>
              <w:t>index.html · app.js · app.css</w:t>
              <w:br/>
              <w:t>(+ console.*, advisor.*)</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6"/>
              </w:rPr>
              <w:t>The three-page application</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Customer risk assessment, operations visibility, regulatory Q&amp;A</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Persona UX over deterministic verdicts; Advisor page calls the LLM core when configured</w:t>
            </w:r>
          </w:p>
        </w:tc>
        <w:tc>
          <w:tcPr>
            <w:tcW w:type="dxa" w:w="1871"/>
            <w:tcBorders>
              <w:top w:val="single" w:sz="4" w:color="D0D5DD"/>
              <w:bottom w:val="single" w:sz="4" w:color="D0D5DD"/>
              <w:left w:val="single" w:sz="4" w:color="D0D5DD"/>
              <w:right w:val="single" w:sz="4" w:color="D0D5DD"/>
            </w:tcBorders>
          </w:tcPr>
          <w:p>
            <w:pPr>
              <w:spacing w:before="20" w:after="20"/>
            </w:pPr>
            <w:r>
              <w:rPr>
                <w:color w:val="475467"/>
                <w:sz w:val="16"/>
              </w:rPr>
              <w:t>The RA methodology, hard outcomes, register, print report — the firm's primary CDD instrument</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5"/>
              </w:rPr>
              <w:t>screen.py</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Daily screening engine (3,909 lines)</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Whole-book sanctions / adverse media / PEP screening</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Deterministic intelligence (fuzzy matching, typologies, delta); orchestrates ai.py enrichment</w:t>
            </w:r>
          </w:p>
        </w:tc>
        <w:tc>
          <w:tcPr>
            <w:tcW w:type="dxa" w:w="1871"/>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The operative daily control: FATF R.6/10/12 screening evidence, degrade-loudly guarantees</w:t>
            </w:r>
          </w:p>
        </w:tc>
      </w:tr>
      <w:tr>
        <w:tc>
          <w:tcPr>
            <w:tcW w:type="dxa" w:w="204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5"/>
              </w:rPr>
              <w:t>ai.py</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6"/>
              </w:rPr>
              <w:t>AI layer (485 lines)</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Risk rating, triage, summaries, STR drafts, transliteration, network detection</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THE LLM gateway (opt-in, fail-closed); prompt-injection defence; model card in code</w:t>
            </w:r>
          </w:p>
        </w:tc>
        <w:tc>
          <w:tcPr>
            <w:tcW w:type="dxa" w:w="1871"/>
            <w:tcBorders>
              <w:top w:val="single" w:sz="4" w:color="D0D5DD"/>
              <w:bottom w:val="single" w:sz="4" w:color="D0D5DD"/>
              <w:left w:val="single" w:sz="4" w:color="D0D5DD"/>
              <w:right w:val="single" w:sz="4" w:color="D0D5DD"/>
            </w:tcBorders>
          </w:tcPr>
          <w:p>
            <w:pPr>
              <w:spacing w:before="20" w:after="20"/>
            </w:pPr>
            <w:r>
              <w:rPr>
                <w:color w:val="475467"/>
                <w:sz w:val="16"/>
              </w:rPr>
              <w:t>Explainable ratings (R.10), EDD cadence, goAML draft support — all decision-support</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5"/>
              </w:rPr>
              <w:t>agents.py</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Agentic operating model (261 lines)</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Pipeline governance</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Governs the AI: 9 agent identities, allow-lists, credential broker, QA gate</w:t>
            </w:r>
          </w:p>
        </w:tc>
        <w:tc>
          <w:tcPr>
            <w:tcW w:type="dxa" w:w="1871"/>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Per-run audit trail and attestation printed into every report</w:t>
            </w:r>
          </w:p>
        </w:tc>
      </w:tr>
      <w:tr>
        <w:tc>
          <w:tcPr>
            <w:tcW w:type="dxa" w:w="204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5"/>
              </w:rPr>
              <w:t>kyc.py · txn_monitor.py · str_dossier.py · monitoring.py</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6"/>
              </w:rPr>
              <w:t>Specialist engine modules</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CDD gaps; transaction rules (inert until feed); goAML dossiers; runtime drift monitoring</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None (deterministic by declaration); monitoring counts LLM usage</w:t>
            </w:r>
          </w:p>
        </w:tc>
        <w:tc>
          <w:tcPr>
            <w:tcW w:type="dxa" w:w="1871"/>
            <w:tcBorders>
              <w:top w:val="single" w:sz="4" w:color="D0D5DD"/>
              <w:bottom w:val="single" w:sz="4" w:color="D0D5DD"/>
              <w:left w:val="single" w:sz="4" w:color="D0D5DD"/>
              <w:right w:val="single" w:sz="4" w:color="D0D5DD"/>
            </w:tcBorders>
          </w:tcPr>
          <w:p>
            <w:pPr>
              <w:spacing w:before="20" w:after="20"/>
            </w:pPr>
            <w:r>
              <w:rPr>
                <w:color w:val="475467"/>
                <w:sz w:val="16"/>
              </w:rPr>
              <w:t>FATF R.10/R.16/R.20/R.25 mechanics with honest status lines</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5"/>
              </w:rPr>
              <w:t>netlify/functions/</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Serverless backend (7 functions)</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Asana delivery, encrypted backup, LLM Advisor core, CSP reporting</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brain-soul.js is the production LLM surface with all seven guards</w:t>
            </w:r>
          </w:p>
        </w:tc>
        <w:tc>
          <w:tcPr>
            <w:tcW w:type="dxa" w:w="1871"/>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Keeps tokens off-device; audit lines; rate-limited, origin-gated relays</w:t>
            </w:r>
          </w:p>
        </w:tc>
      </w:tr>
      <w:tr>
        <w:tc>
          <w:tcPr>
            <w:tcW w:type="dxa" w:w="204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5"/>
              </w:rPr>
              <w:t>scripts/ (33 .mjs)</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6"/>
              </w:rPr>
              <w:t>Automation fleet</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Sanctions/FATF/regulatory watchdogs, daily briefs, evals, SBOM, metrics, reconciliation</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reg-draft.mjs (AI PR proposals); advisor-eval / advisor-bias-eval (live model assurance)</w:t>
            </w:r>
          </w:p>
        </w:tc>
        <w:tc>
          <w:tcPr>
            <w:tcW w:type="dxa" w:w="1871"/>
            <w:tcBorders>
              <w:top w:val="single" w:sz="4" w:color="D0D5DD"/>
              <w:bottom w:val="single" w:sz="4" w:color="D0D5DD"/>
              <w:left w:val="single" w:sz="4" w:color="D0D5DD"/>
              <w:right w:val="single" w:sz="4" w:color="D0D5DD"/>
            </w:tcBorders>
          </w:tcPr>
          <w:p>
            <w:pPr>
              <w:spacing w:before="20" w:after="20"/>
            </w:pPr>
            <w:r>
              <w:rPr>
                <w:color w:val="475467"/>
                <w:sz w:val="16"/>
              </w:rPr>
              <w:t>Continuous list/regulation change detection with human-gated response</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5"/>
              </w:rPr>
              <w:t>.github/workflows/ (47)</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Scheduled operations + CI/CD</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The platform's operational heartbeat and quality gates</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Carry the AI env gates (LLM_TRIAGE, AI_MODEL) and run the AI assurance suites</w:t>
            </w:r>
          </w:p>
        </w:tc>
        <w:tc>
          <w:tcPr>
            <w:tcW w:type="dxa" w:w="1871"/>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Evidence that controls ran: schedules, freshness alarms, provenance-attested releases</w:t>
            </w:r>
          </w:p>
        </w:tc>
      </w:tr>
      <w:tr>
        <w:tc>
          <w:tcPr>
            <w:tcW w:type="dxa" w:w="204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5"/>
              </w:rPr>
              <w:t>data/ (19 JSON)</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6"/>
              </w:rPr>
              <w:t>Machine-readable state &amp; reference</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Delta state, evidence logs, run metrics, list baselines, AI asset register, jurisdiction risk</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The AI register (ai-assets.json) is CI-enforced; state files are the 'continuous adaptation' memory</w:t>
            </w:r>
          </w:p>
        </w:tc>
        <w:tc>
          <w:tcPr>
            <w:tcW w:type="dxa" w:w="1871"/>
            <w:tcBorders>
              <w:top w:val="single" w:sz="4" w:color="D0D5DD"/>
              <w:bottom w:val="single" w:sz="4" w:color="D0D5DD"/>
              <w:left w:val="single" w:sz="4" w:color="D0D5DD"/>
              <w:right w:val="single" w:sz="4" w:color="D0D5DD"/>
            </w:tcBorders>
          </w:tcPr>
          <w:p>
            <w:pPr>
              <w:spacing w:before="20" w:after="20"/>
            </w:pPr>
            <w:r>
              <w:rPr>
                <w:color w:val="475467"/>
                <w:sz w:val="16"/>
              </w:rPr>
              <w:t>Git-versioned audit trail of what the control knew and when</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5"/>
              </w:rPr>
              <w:t>test/ (63 files, incl. 4 Python)</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Quality &amp; assurance suite</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Engine goldens, guard tests, charter drift, bias parity, injection red-team, fuzzing, a11y, visual</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AI assurance is CI-blocking: bias_eval.py, redteam_injection.py, advisor-assurance.test.js, ai-assets.test.js</w:t>
            </w:r>
          </w:p>
        </w:tc>
        <w:tc>
          <w:tcPr>
            <w:tcW w:type="dxa" w:w="1871"/>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Executable model validation evidence for any inspection</w:t>
            </w:r>
          </w:p>
        </w:tc>
      </w:tr>
      <w:tr>
        <w:tc>
          <w:tcPr>
            <w:tcW w:type="dxa" w:w="204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5"/>
              </w:rPr>
              <w:t>docs/ (110 md)</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6"/>
              </w:rPr>
              <w:t>Governance &amp; knowledge base</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AI governance pack, ISO 42001 AIMS, model cards, architecture/STRIDE, executive briefs, user guides, research</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The AI accountability layer: DPIA, SoA, RMF crosswalk, incident runbook, AUP, bias reviews</w:t>
            </w:r>
          </w:p>
        </w:tc>
        <w:tc>
          <w:tcPr>
            <w:tcW w:type="dxa" w:w="1871"/>
            <w:tcBorders>
              <w:top w:val="single" w:sz="4" w:color="D0D5DD"/>
              <w:bottom w:val="single" w:sz="4" w:color="D0D5DD"/>
              <w:left w:val="single" w:sz="4" w:color="D0D5DD"/>
              <w:right w:val="single" w:sz="4" w:color="D0D5DD"/>
            </w:tcBorders>
          </w:tcPr>
          <w:p>
            <w:pPr>
              <w:spacing w:before="20" w:after="20"/>
            </w:pPr>
            <w:r>
              <w:rPr>
                <w:color w:val="475467"/>
                <w:sz w:val="16"/>
              </w:rPr>
              <w:t>The regulator-facing evidence library ('show me' → artifact map)</w:t>
            </w:r>
          </w:p>
        </w:tc>
      </w:tr>
      <w:tr>
        <w:tc>
          <w:tcPr>
            <w:tcW w:type="dxa" w:w="2041"/>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5"/>
              </w:rPr>
              <w:t>assets/ · fonts.css · design/</w:t>
            </w:r>
          </w:p>
        </w:tc>
        <w:tc>
          <w:tcPr>
            <w:tcW w:type="dxa" w:w="1644"/>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Brand, fonts, robot portraits, design handoff; assets/super-data.js knowledge corpus</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The command-center experience and the cited Q&amp;A content</w:t>
            </w:r>
          </w:p>
        </w:tc>
        <w:tc>
          <w:tcPr>
            <w:tcW w:type="dxa" w:w="192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super-data.js grounds the Advisor (static corpus + embedded knowledge)</w:t>
            </w:r>
          </w:p>
        </w:tc>
        <w:tc>
          <w:tcPr>
            <w:tcW w:type="dxa" w:w="1871"/>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Self-hosted assets preserve the pure-self CSP (no third-party calls)</w:t>
            </w:r>
          </w:p>
        </w:tc>
      </w:tr>
      <w:tr>
        <w:tc>
          <w:tcPr>
            <w:tcW w:type="dxa" w:w="2041"/>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5"/>
              </w:rPr>
              <w:t>Dockerfile · netlify.toml · sws.toml · ci/</w:t>
            </w:r>
          </w:p>
        </w:tc>
        <w:tc>
          <w:tcPr>
            <w:tcW w:type="dxa" w:w="1644"/>
            <w:tcBorders>
              <w:top w:val="single" w:sz="4" w:color="D0D5DD"/>
              <w:bottom w:val="single" w:sz="4" w:color="D0D5DD"/>
              <w:left w:val="single" w:sz="4" w:color="D0D5DD"/>
              <w:right w:val="single" w:sz="4" w:color="D0D5DD"/>
            </w:tcBorders>
          </w:tcPr>
          <w:p>
            <w:pPr>
              <w:spacing w:before="20" w:after="20"/>
            </w:pPr>
            <w:r>
              <w:rPr>
                <w:color w:val="475467"/>
                <w:sz w:val="16"/>
              </w:rPr>
              <w:t>Packaging &amp; hosting</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Self-host container (GHCR, per release), static hosting config, security headers, pinned Python deps</w:t>
            </w:r>
          </w:p>
        </w:tc>
        <w:tc>
          <w:tcPr>
            <w:tcW w:type="dxa" w:w="1928"/>
            <w:tcBorders>
              <w:top w:val="single" w:sz="4" w:color="D0D5DD"/>
              <w:bottom w:val="single" w:sz="4" w:color="D0D5DD"/>
              <w:left w:val="single" w:sz="4" w:color="D0D5DD"/>
              <w:right w:val="single" w:sz="4" w:color="D0D5DD"/>
            </w:tcBorders>
          </w:tcPr>
          <w:p>
            <w:pPr>
              <w:spacing w:before="20" w:after="20"/>
            </w:pPr>
            <w:r>
              <w:rPr>
                <w:color w:val="475467"/>
                <w:sz w:val="16"/>
              </w:rPr>
              <w:t>None directly; ships the same governed app</w:t>
            </w:r>
          </w:p>
        </w:tc>
        <w:tc>
          <w:tcPr>
            <w:tcW w:type="dxa" w:w="1871"/>
            <w:tcBorders>
              <w:top w:val="single" w:sz="4" w:color="D0D5DD"/>
              <w:bottom w:val="single" w:sz="4" w:color="D0D5DD"/>
              <w:left w:val="single" w:sz="4" w:color="D0D5DD"/>
              <w:right w:val="single" w:sz="4" w:color="D0D5DD"/>
            </w:tcBorders>
          </w:tcPr>
          <w:p>
            <w:pPr>
              <w:spacing w:before="20" w:after="20"/>
            </w:pPr>
            <w:r>
              <w:rPr>
                <w:color w:val="475467"/>
                <w:sz w:val="16"/>
              </w:rPr>
              <w:t>Same security headers everywhere; provenance-attested images; hash-locked dependency chain</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DE7F0"/>
            <w:tcBorders>
              <w:left w:val="single" w:sz="24" w:color="BE185D"/>
              <w:top w:val="single" w:sz="2" w:color="FDE7F0"/>
              <w:bottom w:val="single" w:sz="2" w:color="FDE7F0"/>
              <w:right w:val="single" w:sz="2" w:color="FDE7F0"/>
            </w:tcBorders>
          </w:tcPr>
          <w:p>
            <w:pPr>
              <w:spacing w:before="40" w:after="40"/>
            </w:pPr>
            <w:r>
              <w:rPr>
                <w:b/>
                <w:color w:val="101828"/>
                <w:sz w:val="20"/>
              </w:rPr>
              <w:t>THE RATIO THAT MATTERS</w:t>
              <w:br/>
            </w:r>
            <w:r>
              <w:rPr>
                <w:color w:val="475467"/>
                <w:sz w:val="20"/>
              </w:rPr>
              <w:t>Reading the map: AI executes in exactly three places (brain-soul.js, ai.py's gated gateway, reg-draft.mjs) and is assured in two (eval scripts, test suite). Everything else is deterministic compliance machinery and the governance that surrounds the AI. That ratio — a small governed AI core inside a large deterministic evidence engine — is the architecture story worth telling.</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12   </w:t>
      </w:r>
      <w:r>
        <w:rPr>
          <w:rFonts w:ascii="Calibri" w:hAnsi="Calibri"/>
          <w:b/>
          <w:color w:val="101828"/>
          <w:sz w:val="34"/>
        </w:rPr>
        <w:t>SWOT Analysis — AI-Enabled Compliance Perspective</w:t>
      </w:r>
    </w:p>
    <w:p>
      <w:pPr>
        <w:spacing w:after="200"/>
      </w:pPr>
      <w:r>
        <w:rPr>
          <w:b w:val="0"/>
          <w:i/>
          <w:color w:val="BE185D"/>
          <w:sz w:val="18"/>
        </w:rPr>
        <w:t>Maps to Slide 18 · Key message: the weaknesses are known, documented by the platform itself, and each has a governance-gated path to closure.</w:t>
      </w:r>
    </w:p>
    <w:tbl>
      <w:tblPr>
        <w:tblW w:type="auto" w:w="0"/>
        <w:tblLook w:firstColumn="1" w:firstRow="1" w:lastColumn="0" w:lastRow="0" w:noHBand="0" w:noVBand="1" w:val="04A0"/>
      </w:tblPr>
      <w:tblGrid>
        <w:gridCol w:w="4706"/>
        <w:gridCol w:w="4706"/>
      </w:tblGrid>
      <w:tr>
        <w:tc>
          <w:tcPr>
            <w:tcW w:type="dxa" w:w="4706"/>
            <w:shd w:val="clear" w:fill="047857"/>
            <w:tcBorders>
              <w:top w:val="single" w:sz="8" w:color="FFFFFF"/>
              <w:bottom w:val="single" w:sz="8" w:color="FFFFFF"/>
              <w:left w:val="single" w:sz="8" w:color="FFFFFF"/>
              <w:right w:val="single" w:sz="8" w:color="FFFFFF"/>
            </w:tcBorders>
          </w:tcPr>
          <w:p>
            <w:r>
              <w:rPr>
                <w:b/>
                <w:color w:val="FFFFFF"/>
                <w:sz w:val="21"/>
              </w:rPr>
              <w:t>STRENGTHS</w:t>
            </w:r>
          </w:p>
        </w:tc>
        <w:tc>
          <w:tcPr>
            <w:tcW w:type="dxa" w:w="4706"/>
            <w:shd w:val="clear" w:fill="BE185D"/>
            <w:tcBorders>
              <w:top w:val="single" w:sz="8" w:color="FFFFFF"/>
              <w:bottom w:val="single" w:sz="8" w:color="FFFFFF"/>
              <w:left w:val="single" w:sz="8" w:color="FFFFFF"/>
              <w:right w:val="single" w:sz="8" w:color="FFFFFF"/>
            </w:tcBorders>
          </w:tcPr>
          <w:p>
            <w:r>
              <w:rPr>
                <w:b/>
                <w:color w:val="FFFFFF"/>
                <w:sz w:val="21"/>
              </w:rPr>
              <w:t>WEAKNESSES</w:t>
            </w:r>
          </w:p>
        </w:tc>
      </w:tr>
      <w:tr>
        <w:tc>
          <w:tcPr>
            <w:tcW w:type="dxa" w:w="4706"/>
            <w:shd w:val="clear" w:fill="E7F6EC"/>
            <w:tcBorders>
              <w:top w:val="single" w:sz="4" w:color="D0D5DD"/>
              <w:bottom w:val="single" w:sz="4" w:color="D0D5DD"/>
              <w:left w:val="single" w:sz="4" w:color="D0D5DD"/>
              <w:right w:val="single" w:sz="4" w:color="D0D5DD"/>
            </w:tcBorders>
          </w:tcPr>
          <w:p>
            <w:pPr>
              <w:spacing w:after="60"/>
            </w:pPr>
            <w:r>
              <w:rPr>
                <w:b/>
                <w:color w:val="101828"/>
                <w:sz w:val="17"/>
              </w:rPr>
              <w:t xml:space="preserve">• Governance-first AI adoption. </w:t>
            </w:r>
            <w:r>
              <w:rPr>
                <w:color w:val="475467"/>
                <w:sz w:val="17"/>
              </w:rPr>
              <w:t>Registered assets, CI-enforced shadow-AI control, charter-drift tests, kill switches — audit-ready today.</w:t>
            </w:r>
          </w:p>
          <w:p>
            <w:pPr>
              <w:spacing w:after="60"/>
            </w:pPr>
            <w:r>
              <w:rPr>
                <w:b/>
                <w:color w:val="101828"/>
                <w:sz w:val="17"/>
              </w:rPr>
              <w:t xml:space="preserve">• Structural human-in-the-loop. </w:t>
            </w:r>
            <w:r>
              <w:rPr>
                <w:color w:val="475467"/>
                <w:sz w:val="17"/>
              </w:rPr>
              <w:t>Authority denial is code (allow-lists, draft-only outputs), not policy.</w:t>
            </w:r>
          </w:p>
          <w:p>
            <w:pPr>
              <w:spacing w:after="60"/>
            </w:pPr>
            <w:r>
              <w:rPr>
                <w:b/>
                <w:color w:val="101828"/>
                <w:sz w:val="17"/>
              </w:rPr>
              <w:t xml:space="preserve">• Explainable by construction. </w:t>
            </w:r>
            <w:r>
              <w:rPr>
                <w:color w:val="475467"/>
                <w:sz w:val="17"/>
              </w:rPr>
              <w:t>Factors, thresholds, provenance and match tiers printed on every output.</w:t>
            </w:r>
          </w:p>
          <w:p>
            <w:pPr>
              <w:spacing w:after="60"/>
            </w:pPr>
            <w:r>
              <w:rPr>
                <w:b/>
                <w:color w:val="101828"/>
                <w:sz w:val="17"/>
              </w:rPr>
              <w:t xml:space="preserve">• Fail-loud reliability. </w:t>
            </w:r>
            <w:r>
              <w:rPr>
                <w:color w:val="475467"/>
                <w:sz w:val="17"/>
              </w:rPr>
              <w:t>Coverage floors, delivery gates, freshness alarms — no silent all-clears.</w:t>
            </w:r>
          </w:p>
          <w:p>
            <w:pPr>
              <w:spacing w:after="60"/>
            </w:pPr>
            <w:r>
              <w:rPr>
                <w:b/>
                <w:color w:val="101828"/>
                <w:sz w:val="17"/>
              </w:rPr>
              <w:t xml:space="preserve">• Deep UAE regulatory embedding. </w:t>
            </w:r>
            <w:r>
              <w:rPr>
                <w:color w:val="475467"/>
                <w:sz w:val="17"/>
              </w:rPr>
              <w:t>FDL 10/2025, goAML, tipping-off guard, DPMS typologies, Arabic-script recall with bias parity tests.</w:t>
            </w:r>
          </w:p>
          <w:p>
            <w:pPr>
              <w:spacing w:after="60"/>
            </w:pPr>
            <w:r>
              <w:rPr>
                <w:b/>
                <w:color w:val="101828"/>
                <w:sz w:val="17"/>
              </w:rPr>
              <w:t xml:space="preserve">• Zero-cost, zero-server operating model. </w:t>
            </w:r>
            <w:r>
              <w:rPr>
                <w:color w:val="475467"/>
                <w:sz w:val="17"/>
              </w:rPr>
              <w:t>Free data tiers, static hosting, scheduled CI — exceptional cost profile.</w:t>
            </w:r>
          </w:p>
        </w:tc>
        <w:tc>
          <w:tcPr>
            <w:tcW w:type="dxa" w:w="4706"/>
            <w:shd w:val="clear" w:fill="FDE7F0"/>
            <w:tcBorders>
              <w:top w:val="single" w:sz="4" w:color="D0D5DD"/>
              <w:bottom w:val="single" w:sz="4" w:color="D0D5DD"/>
              <w:left w:val="single" w:sz="4" w:color="D0D5DD"/>
              <w:right w:val="single" w:sz="4" w:color="D0D5DD"/>
            </w:tcBorders>
          </w:tcPr>
          <w:p>
            <w:pPr>
              <w:spacing w:after="60"/>
            </w:pPr>
            <w:r>
              <w:rPr>
                <w:b/>
                <w:color w:val="101828"/>
                <w:sz w:val="17"/>
              </w:rPr>
              <w:t xml:space="preserve">• Headline AI value is parked. </w:t>
            </w:r>
            <w:r>
              <w:rPr>
                <w:color w:val="475467"/>
                <w:sz w:val="17"/>
              </w:rPr>
              <w:t>LLM triage is implemented but dormant (LLM_TRIAGE=0) pending the Anthropic DPA — the PDPL gate is correct, but value is unrealised.</w:t>
            </w:r>
          </w:p>
          <w:p>
            <w:pPr>
              <w:spacing w:after="60"/>
            </w:pPr>
            <w:r>
              <w:rPr>
                <w:b/>
                <w:color w:val="101828"/>
                <w:sz w:val="17"/>
              </w:rPr>
              <w:t xml:space="preserve">• Transaction monitoring is inert. </w:t>
            </w:r>
            <w:r>
              <w:rPr>
                <w:color w:val="475467"/>
                <w:sz w:val="17"/>
              </w:rPr>
              <w:t>Seven tested rules await a transaction feed; today's monitoring is honest but empty.</w:t>
            </w:r>
          </w:p>
          <w:p>
            <w:pPr>
              <w:spacing w:after="60"/>
            </w:pPr>
            <w:r>
              <w:rPr>
                <w:b/>
                <w:color w:val="101828"/>
                <w:sz w:val="17"/>
              </w:rPr>
              <w:t xml:space="preserve">• Benefits not yet baselined. </w:t>
            </w:r>
            <w:r>
              <w:rPr>
                <w:color w:val="475467"/>
                <w:sz w:val="17"/>
              </w:rPr>
              <w:t>KPI dashboard fields are [measure] placeholders; percentage claims cannot yet be evidenced.</w:t>
            </w:r>
          </w:p>
          <w:p>
            <w:pPr>
              <w:spacing w:after="60"/>
            </w:pPr>
            <w:r>
              <w:rPr>
                <w:b/>
                <w:color w:val="101828"/>
                <w:sz w:val="17"/>
              </w:rPr>
              <w:t xml:space="preserve">• Self-assessed, not certified. </w:t>
            </w:r>
            <w:r>
              <w:rPr>
                <w:color w:val="475467"/>
                <w:sz w:val="17"/>
              </w:rPr>
              <w:t>ISO 42001 / NIST RMF mappings are internal; no external audit or certification claimed.</w:t>
            </w:r>
          </w:p>
          <w:p>
            <w:pPr>
              <w:spacing w:after="60"/>
            </w:pPr>
            <w:r>
              <w:rPr>
                <w:b/>
                <w:color w:val="101828"/>
                <w:sz w:val="17"/>
              </w:rPr>
              <w:t xml:space="preserve">• Operational constraints. </w:t>
            </w:r>
            <w:r>
              <w:rPr>
                <w:color w:val="475467"/>
                <w:sz w:val="17"/>
              </w:rPr>
              <w:t>OpenSanctions bulk data is CC-BY-NC (commercial licence needed); Netlify 10s default cap can time out 'deep' mode; rate limiting is per-instance best-effort.</w:t>
            </w:r>
          </w:p>
          <w:p>
            <w:pPr>
              <w:spacing w:after="60"/>
            </w:pPr>
            <w:r>
              <w:rPr>
                <w:b/>
                <w:color w:val="101828"/>
                <w:sz w:val="17"/>
              </w:rPr>
              <w:t xml:space="preserve">• Documentation drift in places. </w:t>
            </w:r>
            <w:r>
              <w:rPr>
                <w:color w:val="475467"/>
                <w:sz w:val="17"/>
              </w:rPr>
              <w:t>Stale module headers and comment counts (e.g. screen.py header modes; advisor.js corpus counts) — cosmetic, but visible to a technical due-diligence reader.</w:t>
            </w:r>
          </w:p>
        </w:tc>
      </w:tr>
    </w:tbl>
    <w:p>
      <w:pPr>
        <w:spacing w:after="40"/>
      </w:pPr>
    </w:p>
    <w:tbl>
      <w:tblPr>
        <w:tblW w:type="auto" w:w="0"/>
        <w:tblLook w:firstColumn="1" w:firstRow="1" w:lastColumn="0" w:lastRow="0" w:noHBand="0" w:noVBand="1" w:val="04A0"/>
      </w:tblPr>
      <w:tblGrid>
        <w:gridCol w:w="4706"/>
        <w:gridCol w:w="4706"/>
      </w:tblGrid>
      <w:tr>
        <w:tc>
          <w:tcPr>
            <w:tcW w:type="dxa" w:w="4706"/>
            <w:shd w:val="clear" w:fill="1D4ED8"/>
            <w:tcBorders>
              <w:top w:val="single" w:sz="8" w:color="FFFFFF"/>
              <w:bottom w:val="single" w:sz="8" w:color="FFFFFF"/>
              <w:left w:val="single" w:sz="8" w:color="FFFFFF"/>
              <w:right w:val="single" w:sz="8" w:color="FFFFFF"/>
            </w:tcBorders>
          </w:tcPr>
          <w:p>
            <w:r>
              <w:rPr>
                <w:b/>
                <w:color w:val="FFFFFF"/>
                <w:sz w:val="21"/>
              </w:rPr>
              <w:t>OPPORTUNITIES</w:t>
            </w:r>
          </w:p>
        </w:tc>
        <w:tc>
          <w:tcPr>
            <w:tcW w:type="dxa" w:w="4706"/>
            <w:shd w:val="clear" w:fill="B45309"/>
            <w:tcBorders>
              <w:top w:val="single" w:sz="8" w:color="FFFFFF"/>
              <w:bottom w:val="single" w:sz="8" w:color="FFFFFF"/>
              <w:left w:val="single" w:sz="8" w:color="FFFFFF"/>
              <w:right w:val="single" w:sz="8" w:color="FFFFFF"/>
            </w:tcBorders>
          </w:tcPr>
          <w:p>
            <w:r>
              <w:rPr>
                <w:b/>
                <w:color w:val="FFFFFF"/>
                <w:sz w:val="21"/>
              </w:rPr>
              <w:t>THREATS</w:t>
            </w:r>
          </w:p>
        </w:tc>
      </w:tr>
      <w:tr>
        <w:tc>
          <w:tcPr>
            <w:tcW w:type="dxa" w:w="4706"/>
            <w:shd w:val="clear" w:fill="E8F0FE"/>
            <w:tcBorders>
              <w:top w:val="single" w:sz="4" w:color="D0D5DD"/>
              <w:bottom w:val="single" w:sz="4" w:color="D0D5DD"/>
              <w:left w:val="single" w:sz="4" w:color="D0D5DD"/>
              <w:right w:val="single" w:sz="4" w:color="D0D5DD"/>
            </w:tcBorders>
          </w:tcPr>
          <w:p>
            <w:pPr>
              <w:spacing w:after="60"/>
            </w:pPr>
            <w:r>
              <w:rPr>
                <w:b/>
                <w:color w:val="101828"/>
                <w:sz w:val="17"/>
              </w:rPr>
              <w:t xml:space="preserve">• Execute the Anthropic DPA. </w:t>
            </w:r>
            <w:r>
              <w:rPr>
                <w:color w:val="475467"/>
                <w:sz w:val="17"/>
              </w:rPr>
              <w:t>One signature unlocks the already-built, already-red-teamed triage capability under existing eval gates.</w:t>
            </w:r>
          </w:p>
          <w:p>
            <w:pPr>
              <w:spacing w:after="60"/>
            </w:pPr>
            <w:r>
              <w:rPr>
                <w:b/>
                <w:color w:val="101828"/>
                <w:sz w:val="17"/>
              </w:rPr>
              <w:t xml:space="preserve">• Connect a transaction feed. </w:t>
            </w:r>
            <w:r>
              <w:rPr>
                <w:color w:val="475467"/>
                <w:sz w:val="17"/>
              </w:rPr>
              <w:t>Activates the dormant rules engine and opens the path to AI-assisted transaction investigation.</w:t>
            </w:r>
          </w:p>
          <w:p>
            <w:pPr>
              <w:spacing w:after="60"/>
            </w:pPr>
            <w:r>
              <w:rPr>
                <w:b/>
                <w:color w:val="101828"/>
                <w:sz w:val="17"/>
              </w:rPr>
              <w:t xml:space="preserve">• Measure and monetise the ROI story. </w:t>
            </w:r>
            <w:r>
              <w:rPr>
                <w:color w:val="475467"/>
                <w:sz w:val="17"/>
              </w:rPr>
              <w:t>90-day KPI baselining converts honesty into a quantified sales asset.</w:t>
            </w:r>
          </w:p>
          <w:p>
            <w:pPr>
              <w:spacing w:after="60"/>
            </w:pPr>
            <w:r>
              <w:rPr>
                <w:b/>
                <w:color w:val="101828"/>
                <w:sz w:val="17"/>
              </w:rPr>
              <w:t xml:space="preserve">• Jurisdiction localisation packs. </w:t>
            </w:r>
            <w:r>
              <w:rPr>
                <w:color w:val="475467"/>
                <w:sz w:val="17"/>
              </w:rPr>
              <w:t>The framework/typology layer is data-driven — FCA/MAS/AMLD editions are content work, not re-architecture.</w:t>
            </w:r>
          </w:p>
          <w:p>
            <w:pPr>
              <w:spacing w:after="60"/>
            </w:pPr>
            <w:r>
              <w:rPr>
                <w:b/>
                <w:color w:val="101828"/>
                <w:sz w:val="17"/>
              </w:rPr>
              <w:t xml:space="preserve">• External certification. </w:t>
            </w:r>
            <w:r>
              <w:rPr>
                <w:color w:val="475467"/>
                <w:sz w:val="17"/>
              </w:rPr>
              <w:t>The AIMS pack is structured for an ISO/IEC 42001 audit; certification would be a market differentiator for an AI-governed RegTech.</w:t>
            </w:r>
          </w:p>
          <w:p>
            <w:pPr>
              <w:spacing w:after="60"/>
            </w:pPr>
            <w:r>
              <w:rPr>
                <w:b/>
                <w:color w:val="101828"/>
                <w:sz w:val="17"/>
              </w:rPr>
              <w:t xml:space="preserve">• EU AI Act positioning. </w:t>
            </w:r>
            <w:r>
              <w:rPr>
                <w:color w:val="475467"/>
                <w:sz w:val="17"/>
              </w:rPr>
              <w:t>Limited-risk classification with transparency already met — a ready answer as client jurisdictions adopt AI rules.</w:t>
            </w:r>
          </w:p>
        </w:tc>
        <w:tc>
          <w:tcPr>
            <w:tcW w:type="dxa" w:w="4706"/>
            <w:shd w:val="clear" w:fill="FFF4E0"/>
            <w:tcBorders>
              <w:top w:val="single" w:sz="4" w:color="D0D5DD"/>
              <w:bottom w:val="single" w:sz="4" w:color="D0D5DD"/>
              <w:left w:val="single" w:sz="4" w:color="D0D5DD"/>
              <w:right w:val="single" w:sz="4" w:color="D0D5DD"/>
            </w:tcBorders>
          </w:tcPr>
          <w:p>
            <w:pPr>
              <w:spacing w:after="60"/>
            </w:pPr>
            <w:r>
              <w:rPr>
                <w:b/>
                <w:color w:val="101828"/>
                <w:sz w:val="17"/>
              </w:rPr>
              <w:t xml:space="preserve">• Model lifecycle risk. </w:t>
            </w:r>
            <w:r>
              <w:rPr>
                <w:color w:val="475467"/>
                <w:sz w:val="17"/>
              </w:rPr>
              <w:t>Pinned Claude model IDs will deprecate; mitigated by routing-pin tests and env overrides, but needs a lifecycle calendar.</w:t>
            </w:r>
          </w:p>
          <w:p>
            <w:pPr>
              <w:spacing w:after="60"/>
            </w:pPr>
            <w:r>
              <w:rPr>
                <w:b/>
                <w:color w:val="101828"/>
                <w:sz w:val="17"/>
              </w:rPr>
              <w:t xml:space="preserve">• Free-source instability. </w:t>
            </w:r>
            <w:r>
              <w:rPr>
                <w:color w:val="475467"/>
                <w:sz w:val="17"/>
              </w:rPr>
              <w:t>News/PEP feeds rate-limit and endpoints drift; mitigated by mirrors, floors and breakers — but the trend is toward gated data.</w:t>
            </w:r>
          </w:p>
          <w:p>
            <w:pPr>
              <w:spacing w:after="60"/>
            </w:pPr>
            <w:r>
              <w:rPr>
                <w:b/>
                <w:color w:val="101828"/>
                <w:sz w:val="17"/>
              </w:rPr>
              <w:t xml:space="preserve">• Prompt-injection arms race. </w:t>
            </w:r>
            <w:r>
              <w:rPr>
                <w:color w:val="475467"/>
                <w:sz w:val="17"/>
              </w:rPr>
              <w:t>Marker lists require standing red-team refresh (the 2026Q2 expansion shows the cadence needed).</w:t>
            </w:r>
          </w:p>
          <w:p>
            <w:pPr>
              <w:spacing w:after="60"/>
            </w:pPr>
            <w:r>
              <w:rPr>
                <w:b/>
                <w:color w:val="101828"/>
                <w:sz w:val="17"/>
              </w:rPr>
              <w:t xml:space="preserve">• Vendor concentration. </w:t>
            </w:r>
            <w:r>
              <w:rPr>
                <w:color w:val="475467"/>
                <w:sz w:val="17"/>
              </w:rPr>
              <w:t>Single LLM provider; single workflow platform (GitHub) and delivery platform (Asana) — resilience documented, alternatives not rehearsed.</w:t>
            </w:r>
          </w:p>
          <w:p>
            <w:pPr>
              <w:spacing w:after="60"/>
            </w:pPr>
            <w:r>
              <w:rPr>
                <w:b/>
                <w:color w:val="101828"/>
                <w:sz w:val="17"/>
              </w:rPr>
              <w:t xml:space="preserve">• Regulatory tightening on AI egress. </w:t>
            </w:r>
            <w:r>
              <w:rPr>
                <w:color w:val="475467"/>
                <w:sz w:val="17"/>
              </w:rPr>
              <w:t>PDPL enforcement or new AI rules could constrain LLM use; the fail-closed design is the hedge.</w:t>
            </w:r>
          </w:p>
          <w:p>
            <w:pPr>
              <w:spacing w:after="60"/>
            </w:pPr>
            <w:r>
              <w:rPr>
                <w:b/>
                <w:color w:val="101828"/>
                <w:sz w:val="17"/>
              </w:rPr>
              <w:t xml:space="preserve">• Automation complacency. </w:t>
            </w:r>
            <w:r>
              <w:rPr>
                <w:color w:val="475467"/>
                <w:sz w:val="17"/>
              </w:rPr>
              <w:t>Analysts treating drafts as decisions is the classic failure mode; countered by AUP gate, labels and four-eyes requirements — culture must keep pace.</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DE7F0"/>
            <w:tcBorders>
              <w:left w:val="single" w:sz="24" w:color="BE185D"/>
              <w:top w:val="single" w:sz="2" w:color="FDE7F0"/>
              <w:bottom w:val="single" w:sz="2" w:color="FDE7F0"/>
              <w:right w:val="single" w:sz="2" w:color="FDE7F0"/>
            </w:tcBorders>
          </w:tcPr>
          <w:p>
            <w:pPr>
              <w:spacing w:before="40" w:after="40"/>
            </w:pPr>
            <w:r>
              <w:rPr>
                <w:b/>
                <w:color w:val="101828"/>
                <w:sz w:val="20"/>
              </w:rPr>
              <w:t>HOW TO PRESENT THE SWOT</w:t>
              <w:br/>
            </w:r>
            <w:r>
              <w:rPr>
                <w:color w:val="475467"/>
                <w:sz w:val="20"/>
              </w:rPr>
              <w:t>Board takeaway: every weakness above is self-documented inside the repository (open management decisions in docs/executive/executive-brief.md: sign the DPA, connect the feed). A platform that writes down its own gaps is a platform whose strengths you can believe.</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13   </w:t>
      </w:r>
      <w:r>
        <w:rPr>
          <w:rFonts w:ascii="Calibri" w:hAnsi="Calibri"/>
          <w:b/>
          <w:color w:val="101828"/>
          <w:sz w:val="34"/>
        </w:rPr>
        <w:t>Roadmap — Recommended AI Enhancements</w:t>
      </w:r>
    </w:p>
    <w:p>
      <w:pPr>
        <w:spacing w:after="200"/>
      </w:pPr>
      <w:r>
        <w:rPr>
          <w:b w:val="0"/>
          <w:i/>
          <w:color w:val="BE185D"/>
          <w:sz w:val="18"/>
        </w:rPr>
        <w:t>Maps to Slide 19 · Key message: sequence value behind governance — each phase unlocks the next only after its control evidence exists. Everything in this section is a RECOMMENDATION (roadmap), not an implemented feature.</w:t>
      </w:r>
    </w:p>
    <w:p>
      <w:pPr>
        <w:pStyle w:val="Heading2"/>
        <w:keepNext/>
      </w:pPr>
      <w:r>
        <w:rPr>
          <w:b/>
          <w:color w:val="BE185D"/>
        </w:rPr>
        <w:t xml:space="preserve">13.1  </w:t>
      </w:r>
      <w:r>
        <w:rPr>
          <w:b/>
          <w:color w:val="101828"/>
        </w:rPr>
        <w:t>Phase 1 — Activate what is already built (0–3 months)</w:t>
      </w:r>
    </w:p>
    <w:p>
      <w:pPr>
        <w:spacing w:after="60"/>
        <w:keepNext/>
      </w:pPr>
      <w:r>
        <w:rPr>
          <w:b/>
          <w:i w:val="0"/>
          <w:color w:val="101828"/>
          <w:sz w:val="18"/>
        </w:rPr>
        <w:t>Table 16 — Phase 1 — value already paid for, waiting on governance acts</w:t>
      </w:r>
    </w:p>
    <w:tbl>
      <w:tblPr>
        <w:tblW w:type="auto" w:w="0"/>
        <w:jc w:val="center"/>
        <w:tblLayout w:type="fixed"/>
        <w:tblLook w:firstColumn="1" w:firstRow="1" w:lastColumn="0" w:lastRow="0" w:noHBand="0" w:noVBand="1" w:val="04A0"/>
      </w:tblPr>
      <w:tblGrid>
        <w:gridCol w:w="3137"/>
        <w:gridCol w:w="3137"/>
        <w:gridCol w:w="3137"/>
      </w:tblGrid>
      <w:tr>
        <w:tc>
          <w:tcPr>
            <w:tcW w:type="dxa" w:w="249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Initiative</w:t>
            </w:r>
          </w:p>
        </w:tc>
        <w:tc>
          <w:tcPr>
            <w:tcW w:type="dxa" w:w="3742"/>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What it delivers</w:t>
            </w:r>
          </w:p>
        </w:tc>
        <w:tc>
          <w:tcPr>
            <w:tcW w:type="dxa" w:w="3175"/>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Governance guardrail</w:t>
            </w:r>
          </w:p>
        </w:tc>
      </w:tr>
      <w:tr>
        <w:tc>
          <w:tcPr>
            <w:tcW w:type="dxa" w:w="2494"/>
            <w:tcBorders>
              <w:top w:val="single" w:sz="4" w:color="D0D5DD"/>
              <w:bottom w:val="single" w:sz="4" w:color="D0D5DD"/>
              <w:left w:val="single" w:sz="4" w:color="D0D5DD"/>
              <w:right w:val="single" w:sz="4" w:color="D0D5DD"/>
            </w:tcBorders>
          </w:tcPr>
          <w:p>
            <w:pPr>
              <w:spacing w:before="20" w:after="20"/>
            </w:pPr>
            <w:r>
              <w:rPr>
                <w:color w:val="475467"/>
                <w:sz w:val="17"/>
              </w:rPr>
              <w:t>Execute the Anthropic DPA and pilot LLM_TRIAGE=1</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Live grounded triage on real adverse headlines — the engine's dormant AI value — with severity sharpening and relevance filtering</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7"/>
              </w:rPr>
              <w:t>Existing red-team contract (detect / never-send / no-downgrade) stays CI-blocking; weekly evals gate rollout; PDPL assessment updated</w:t>
            </w:r>
          </w:p>
        </w:tc>
      </w:tr>
      <w:tr>
        <w:tc>
          <w:tcPr>
            <w:tcW w:type="dxa" w:w="249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Connect the transaction feed (TXN_FEED_PATH)</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Activates the seven-rule monitoring engine; real R.16/R.20 coverage</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Rules are already unit-tested on synthetic fixtures; run parallel shadow mode before alerting live</w:t>
            </w:r>
          </w:p>
        </w:tc>
      </w:tr>
      <w:tr>
        <w:tc>
          <w:tcPr>
            <w:tcW w:type="dxa" w:w="2494"/>
            <w:tcBorders>
              <w:top w:val="single" w:sz="4" w:color="D0D5DD"/>
              <w:bottom w:val="single" w:sz="4" w:color="D0D5DD"/>
              <w:left w:val="single" w:sz="4" w:color="D0D5DD"/>
              <w:right w:val="single" w:sz="4" w:color="D0D5DD"/>
            </w:tcBorders>
          </w:tcPr>
          <w:p>
            <w:pPr>
              <w:spacing w:before="20" w:after="20"/>
            </w:pPr>
            <w:r>
              <w:rPr>
                <w:color w:val="475467"/>
                <w:sz w:val="17"/>
              </w:rPr>
              <w:t>Baseline the KPI dashboard</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90-day measured evidence for the eight benefit claims of Section 09</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7"/>
              </w:rPr>
              <w:t>Use the existing kpi-dashboard.md spec; publish results into the monthly management review</w:t>
            </w:r>
          </w:p>
        </w:tc>
      </w:tr>
      <w:tr>
        <w:tc>
          <w:tcPr>
            <w:tcW w:type="dxa" w:w="249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Deep-mode timeout remediation</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Reliable claude-opus-4-8 deep analysis (raise the Netlify function cap or move the Advisor core to a background/queued pattern)</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Budget/latency flags already instrument the endpoint</w:t>
            </w:r>
          </w:p>
        </w:tc>
      </w:tr>
    </w:tbl>
    <w:p>
      <w:pPr>
        <w:spacing w:after="40"/>
      </w:pPr>
    </w:p>
    <w:p>
      <w:pPr>
        <w:pStyle w:val="Heading2"/>
        <w:keepNext/>
      </w:pPr>
      <w:r>
        <w:rPr>
          <w:b/>
          <w:color w:val="BE185D"/>
        </w:rPr>
        <w:t xml:space="preserve">13.2  </w:t>
      </w:r>
      <w:r>
        <w:rPr>
          <w:b/>
          <w:color w:val="101828"/>
        </w:rPr>
        <w:t>Phase 2 — Deepen intelligence under the same charter (3–9 months)</w:t>
      </w:r>
    </w:p>
    <w:p>
      <w:pPr>
        <w:spacing w:after="60"/>
        <w:keepNext/>
      </w:pPr>
      <w:r>
        <w:rPr>
          <w:b/>
          <w:i w:val="0"/>
          <w:color w:val="101828"/>
          <w:sz w:val="18"/>
        </w:rPr>
        <w:t>Table 17 — Phase 2 — capability growth with controls designed first</w:t>
      </w:r>
    </w:p>
    <w:tbl>
      <w:tblPr>
        <w:tblW w:type="auto" w:w="0"/>
        <w:jc w:val="center"/>
        <w:tblLayout w:type="fixed"/>
        <w:tblLook w:firstColumn="1" w:firstRow="1" w:lastColumn="0" w:lastRow="0" w:noHBand="0" w:noVBand="1" w:val="04A0"/>
      </w:tblPr>
      <w:tblGrid>
        <w:gridCol w:w="3137"/>
        <w:gridCol w:w="3137"/>
        <w:gridCol w:w="3137"/>
      </w:tblGrid>
      <w:tr>
        <w:tc>
          <w:tcPr>
            <w:tcW w:type="dxa" w:w="249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Initiative</w:t>
            </w:r>
          </w:p>
        </w:tc>
        <w:tc>
          <w:tcPr>
            <w:tcW w:type="dxa" w:w="3742"/>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What it delivers</w:t>
            </w:r>
          </w:p>
        </w:tc>
        <w:tc>
          <w:tcPr>
            <w:tcW w:type="dxa" w:w="3175"/>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Governance guardrail</w:t>
            </w:r>
          </w:p>
        </w:tc>
      </w:tr>
      <w:tr>
        <w:tc>
          <w:tcPr>
            <w:tcW w:type="dxa" w:w="2494"/>
            <w:tcBorders>
              <w:top w:val="single" w:sz="4" w:color="D0D5DD"/>
              <w:bottom w:val="single" w:sz="4" w:color="D0D5DD"/>
              <w:left w:val="single" w:sz="4" w:color="D0D5DD"/>
              <w:right w:val="single" w:sz="4" w:color="D0D5DD"/>
            </w:tcBorders>
          </w:tcPr>
          <w:p>
            <w:pPr>
              <w:spacing w:before="20" w:after="20"/>
            </w:pPr>
            <w:r>
              <w:rPr>
                <w:color w:val="475467"/>
                <w:sz w:val="17"/>
              </w:rPr>
              <w:t>Grounded retrieval (RAG) for the Advisor</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Answers grounded in the firm's own 350-question corpus, governance pack and monitored regulator sources — with real citations supplied to the model instead of relying on operator-pasted context</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7"/>
              </w:rPr>
              <w:t>Solves charter P1/P2 at the root (sources always in input); hallucination guard remains as backstop; retrieval corpus versioned in git</w:t>
            </w:r>
          </w:p>
        </w:tc>
      </w:tr>
      <w:tr>
        <w:tc>
          <w:tcPr>
            <w:tcW w:type="dxa" w:w="249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Explainability &amp; AI-governance dashboard</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Surface what already exists — audit lines, guard-flag rates, QA-gate results, eval outcomes, drift metrics, asset register — as a live console.html panel for MLRO and board reporting</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Read-only view over existing telemetry; no new data collection</w:t>
            </w:r>
          </w:p>
        </w:tc>
      </w:tr>
      <w:tr>
        <w:tc>
          <w:tcPr>
            <w:tcW w:type="dxa" w:w="2494"/>
            <w:tcBorders>
              <w:top w:val="single" w:sz="4" w:color="D0D5DD"/>
              <w:bottom w:val="single" w:sz="4" w:color="D0D5DD"/>
              <w:left w:val="single" w:sz="4" w:color="D0D5DD"/>
              <w:right w:val="single" w:sz="4" w:color="D0D5DD"/>
            </w:tcBorders>
          </w:tcPr>
          <w:p>
            <w:pPr>
              <w:spacing w:before="20" w:after="20"/>
            </w:pPr>
            <w:r>
              <w:rPr>
                <w:color w:val="475467"/>
                <w:sz w:val="17"/>
              </w:rPr>
              <w:t>Knowledge-graph UBO intelligence</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Persist the related-party graph across runs; multi-hop ownership paths, common-intermediary detection, graph views on cases</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7"/>
              </w:rPr>
              <w:t>Deterministic graph (no model risk); PDPL review for any new data store</w:t>
            </w:r>
          </w:p>
        </w:tc>
      </w:tr>
      <w:tr>
        <w:tc>
          <w:tcPr>
            <w:tcW w:type="dxa" w:w="249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Case summarization pilot (REPORT_ALLOW_LLM)</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LLM-written case narratives for MLRO subtasks, evidence-bound</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Keep filed reports deterministic; pilot only on subtask summaries; extend advisor-eval battery to the new surface</w:t>
            </w:r>
          </w:p>
        </w:tc>
      </w:tr>
    </w:tbl>
    <w:p>
      <w:pPr>
        <w:spacing w:after="40"/>
      </w:pPr>
    </w:p>
    <w:p>
      <w:pPr>
        <w:pStyle w:val="Heading2"/>
        <w:keepNext/>
      </w:pPr>
      <w:r>
        <w:rPr>
          <w:b/>
          <w:color w:val="BE185D"/>
        </w:rPr>
        <w:t xml:space="preserve">13.3  </w:t>
      </w:r>
      <w:r>
        <w:rPr>
          <w:b/>
          <w:color w:val="101828"/>
        </w:rPr>
        <w:t>Phase 3 — Governed agentic workflows (9–18 months)</w:t>
      </w:r>
    </w:p>
    <w:p>
      <w:pPr>
        <w:spacing w:after="60"/>
        <w:keepNext/>
      </w:pPr>
      <w:r>
        <w:rPr>
          <w:b/>
          <w:i w:val="0"/>
          <w:color w:val="101828"/>
          <w:sz w:val="18"/>
        </w:rPr>
        <w:t>Table 18 — Phase 3 — autonomy in evidence assembly, never in decisions</w:t>
      </w:r>
    </w:p>
    <w:tbl>
      <w:tblPr>
        <w:tblW w:type="auto" w:w="0"/>
        <w:jc w:val="center"/>
        <w:tblLayout w:type="fixed"/>
        <w:tblLook w:firstColumn="1" w:firstRow="1" w:lastColumn="0" w:lastRow="0" w:noHBand="0" w:noVBand="1" w:val="04A0"/>
      </w:tblPr>
      <w:tblGrid>
        <w:gridCol w:w="3137"/>
        <w:gridCol w:w="3137"/>
        <w:gridCol w:w="3137"/>
      </w:tblGrid>
      <w:tr>
        <w:tc>
          <w:tcPr>
            <w:tcW w:type="dxa" w:w="2494"/>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Initiative</w:t>
            </w:r>
          </w:p>
        </w:tc>
        <w:tc>
          <w:tcPr>
            <w:tcW w:type="dxa" w:w="3742"/>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What it delivers</w:t>
            </w:r>
          </w:p>
        </w:tc>
        <w:tc>
          <w:tcPr>
            <w:tcW w:type="dxa" w:w="3175"/>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Governance guardrail</w:t>
            </w:r>
          </w:p>
        </w:tc>
      </w:tr>
      <w:tr>
        <w:tc>
          <w:tcPr>
            <w:tcW w:type="dxa" w:w="2494"/>
            <w:tcBorders>
              <w:top w:val="single" w:sz="4" w:color="D0D5DD"/>
              <w:bottom w:val="single" w:sz="4" w:color="D0D5DD"/>
              <w:left w:val="single" w:sz="4" w:color="D0D5DD"/>
              <w:right w:val="single" w:sz="4" w:color="D0D5DD"/>
            </w:tcBorders>
          </w:tcPr>
          <w:p>
            <w:pPr>
              <w:spacing w:before="20" w:after="20"/>
            </w:pPr>
            <w:r>
              <w:rPr>
                <w:color w:val="475467"/>
                <w:sz w:val="17"/>
              </w:rPr>
              <w:t>Agentic evidence-pack investigations</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A bounded investigation agent that assembles the full evidence pack for a case (list versions, articles, registry extracts, prior dispositions) before the analyst opens it</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7"/>
              </w:rPr>
              <w:t>Build on agents.py identities: 'gather' allow-list only; QA gate extended to verify pack completeness; MLRO disposition untouched</w:t>
            </w:r>
          </w:p>
        </w:tc>
      </w:tr>
      <w:tr>
        <w:tc>
          <w:tcPr>
            <w:tcW w:type="dxa" w:w="249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Multi-agent adjudication support</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Independent verifier agents argue for/against a match (identity-consistency, transliteration, ownership lenses) and present a structured disagreement view</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Advisory only; every lens's evidence shown; no auto-clearance — mirrors the four-eyes principle in silicon</w:t>
            </w:r>
          </w:p>
        </w:tc>
      </w:tr>
      <w:tr>
        <w:tc>
          <w:tcPr>
            <w:tcW w:type="dxa" w:w="2494"/>
            <w:tcBorders>
              <w:top w:val="single" w:sz="4" w:color="D0D5DD"/>
              <w:bottom w:val="single" w:sz="4" w:color="D0D5DD"/>
              <w:left w:val="single" w:sz="4" w:color="D0D5DD"/>
              <w:right w:val="single" w:sz="4" w:color="D0D5DD"/>
            </w:tcBorders>
          </w:tcPr>
          <w:p>
            <w:pPr>
              <w:spacing w:before="20" w:after="20"/>
            </w:pPr>
            <w:r>
              <w:rPr>
                <w:color w:val="475467"/>
                <w:sz w:val="17"/>
              </w:rPr>
              <w:t>Regulatory reporting automation (goAML)</w:t>
            </w:r>
          </w:p>
        </w:tc>
        <w:tc>
          <w:tcPr>
            <w:tcW w:type="dxa" w:w="3742"/>
            <w:tcBorders>
              <w:top w:val="single" w:sz="4" w:color="D0D5DD"/>
              <w:bottom w:val="single" w:sz="4" w:color="D0D5DD"/>
              <w:left w:val="single" w:sz="4" w:color="D0D5DD"/>
              <w:right w:val="single" w:sz="4" w:color="D0D5DD"/>
            </w:tcBorders>
          </w:tcPr>
          <w:p>
            <w:pPr>
              <w:spacing w:before="20" w:after="20"/>
            </w:pPr>
            <w:r>
              <w:rPr>
                <w:color w:val="475467"/>
                <w:sz w:val="17"/>
              </w:rPr>
              <w:t>Generate validated goAML XML drafts from the existing dossier structure; pre-submission completeness checks</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7"/>
              </w:rPr>
              <w:t>Filing act remains human in the FIU portal; schema validation deterministic; drafts stamped as drafts</w:t>
            </w:r>
          </w:p>
        </w:tc>
      </w:tr>
      <w:tr>
        <w:tc>
          <w:tcPr>
            <w:tcW w:type="dxa" w:w="2494"/>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Continuous monitoring expansion</w:t>
            </w:r>
          </w:p>
        </w:tc>
        <w:tc>
          <w:tcPr>
            <w:tcW w:type="dxa" w:w="3742"/>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Event-driven re-screening on list deltas (re-screen triggers exist in test scaffolding) and near-real-time watchlist alerting</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Same degrade-loudly and delta-state disciplines; alert budget caps to protect analyst attention</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E8F0FE"/>
            <w:tcBorders>
              <w:left w:val="single" w:sz="24" w:color="1D4ED8"/>
              <w:top w:val="single" w:sz="2" w:color="E8F0FE"/>
              <w:bottom w:val="single" w:sz="2" w:color="E8F0FE"/>
              <w:right w:val="single" w:sz="2" w:color="E8F0FE"/>
            </w:tcBorders>
          </w:tcPr>
          <w:p>
            <w:pPr>
              <w:spacing w:before="40" w:after="40"/>
            </w:pPr>
            <w:r>
              <w:rPr>
                <w:b/>
                <w:color w:val="101828"/>
                <w:sz w:val="20"/>
              </w:rPr>
              <w:t>POWERPOINT GRAPHIC — SLIDE 19</w:t>
              <w:br/>
            </w:r>
            <w:r>
              <w:rPr>
                <w:color w:val="475467"/>
                <w:sz w:val="20"/>
              </w:rPr>
              <w:t>Sequencing logic for the slide: a three-step staircase graphic — 'Activate (governance acts) → Deepen (grounded intelligence) → Extend (bounded agency)' — with a constant horizontal band underneath labelled 'MLRO decides · every output sourced · every run audited'. The band never changes; that is the promise.</w:t>
            </w:r>
          </w:p>
        </w:tc>
      </w:tr>
    </w:tbl>
    <w:p>
      <w:pPr>
        <w:spacing w:after="40"/>
      </w:pPr>
    </w:p>
    <w:p>
      <w:r>
        <w:br w:type="page"/>
      </w:r>
    </w:p>
    <w:p>
      <w:pPr>
        <w:pStyle w:val="Heading1"/>
        <w:pBdr>
          <w:bottom w:val="single" w:sz="10" w:space="4" w:color="BE185D"/>
        </w:pBdr>
        <w:keepNext/>
      </w:pPr>
      <w:r>
        <w:rPr>
          <w:rFonts w:ascii="Calibri" w:hAnsi="Calibri"/>
          <w:b/>
          <w:color w:val="BE185D"/>
          <w:sz w:val="34"/>
        </w:rPr>
        <w:t xml:space="preserve">14   </w:t>
      </w:r>
      <w:r>
        <w:rPr>
          <w:rFonts w:ascii="Calibri" w:hAnsi="Calibri"/>
          <w:b/>
          <w:color w:val="101828"/>
          <w:sz w:val="34"/>
        </w:rPr>
        <w:t>Executive Closing</w:t>
      </w:r>
    </w:p>
    <w:p>
      <w:pPr>
        <w:spacing w:after="200"/>
      </w:pPr>
      <w:r>
        <w:rPr>
          <w:b w:val="0"/>
          <w:i/>
          <w:color w:val="BE185D"/>
          <w:sz w:val="18"/>
        </w:rPr>
        <w:t>Maps to Slide 20 · The answer to the closing question, in the words the room should remember.</w:t>
      </w:r>
    </w:p>
    <w:p>
      <w:pPr>
        <w:pStyle w:val="Heading2"/>
        <w:keepNext/>
      </w:pPr>
      <w:r>
        <w:rPr>
          <w:b/>
          <w:color w:val="BE185D"/>
        </w:rPr>
        <w:t xml:space="preserve">14.1  </w:t>
      </w:r>
      <w:r>
        <w:rPr>
          <w:b/>
          <w:color w:val="101828"/>
        </w:rPr>
        <w:t>How does AI transform this platform from a traditional compliance application into an intelligent compliance decision support system?</w:t>
      </w:r>
    </w:p>
    <w:p>
      <w:pPr>
        <w:spacing w:after="120"/>
      </w:pPr>
      <w:r>
        <w:rPr>
          <w:b w:val="0"/>
          <w:i w:val="0"/>
          <w:color w:val="475467"/>
          <w:sz w:val="21"/>
        </w:rPr>
        <w:t>A traditional compliance application records what an officer already decided. It stores the form, prints the report, and waits.</w:t>
      </w:r>
    </w:p>
    <w:p>
      <w:pPr>
        <w:spacing w:after="120"/>
      </w:pPr>
      <w:r>
        <w:rPr>
          <w:b w:val="0"/>
          <w:i w:val="0"/>
          <w:color w:val="475467"/>
          <w:sz w:val="21"/>
        </w:rPr>
        <w:t>This platform participates in the work itself — at every stage where intelligence, not authority, is what is missing. It reads six sanctions lists every morning and knows which of yesterday's names are new. It recognises a designated owner hiding behind a clean company name. It reads the world's news in five locales, discards the duplicates, and labels what remains by typology and severity. It notices that a customer has been in the news three times in ninety days. It rates every flagged relationship and shows its arithmetic. It drafts the suspicious-transaction report the MLRO was going to have to write at nine o'clock at night — and then it stops, because the next step is a decision, and decisions belong to people.</w:t>
      </w:r>
    </w:p>
    <w:p>
      <w:pPr>
        <w:spacing w:after="120"/>
      </w:pPr>
      <w:r>
        <w:rPr>
          <w:b w:val="0"/>
          <w:i w:val="0"/>
          <w:color w:val="475467"/>
          <w:sz w:val="21"/>
        </w:rPr>
        <w:t>That is the transformation: the platform moved the machine boundary from 'store and print' to 'collect, structure, triage, explain and draft' — and then engineered that boundary so it cannot creep. The case agent is not authorized to file. The model cannot downgrade a severity. The report cannot claim AI it did not use. A run that cannot see never says all-clear. An answer without its sources is flagged by the platform's own guards.</w:t>
      </w:r>
    </w:p>
    <w:p>
      <w:pPr>
        <w:spacing w:after="120"/>
      </w:pPr>
      <w:r>
        <w:rPr>
          <w:b w:val="0"/>
          <w:i w:val="0"/>
          <w:color w:val="475467"/>
          <w:sz w:val="21"/>
        </w:rPr>
        <w:t>For each audience in the room, one sentence:</w:t>
      </w:r>
    </w:p>
    <w:p>
      <w:pPr>
        <w:pStyle w:val="ListBullet"/>
        <w:spacing w:after="60"/>
      </w:pPr>
      <w:r>
        <w:rPr>
          <w:b/>
          <w:color w:val="101828"/>
          <w:sz w:val="21"/>
        </w:rPr>
        <w:t xml:space="preserve">Executive management: </w:t>
      </w:r>
      <w:r>
        <w:rPr>
          <w:color w:val="475467"/>
          <w:sz w:val="21"/>
        </w:rPr>
        <w:t>you are buying analyst hours back and audit risk down, at near-zero marginal data cost, with every efficiency claim measurable on an instrument that already exists.</w:t>
      </w:r>
    </w:p>
    <w:p>
      <w:pPr>
        <w:pStyle w:val="ListBullet"/>
        <w:spacing w:after="60"/>
      </w:pPr>
      <w:r>
        <w:rPr>
          <w:b/>
          <w:color w:val="101828"/>
          <w:sz w:val="21"/>
        </w:rPr>
        <w:t xml:space="preserve">Compliance officers and financial-crime specialists: </w:t>
      </w:r>
      <w:r>
        <w:rPr>
          <w:color w:val="475467"/>
          <w:sz w:val="21"/>
        </w:rPr>
        <w:t>the platform does your gathering and your first sort; it never touches your judgment, and it writes down everything it did so you can defend it.</w:t>
      </w:r>
    </w:p>
    <w:p>
      <w:pPr>
        <w:pStyle w:val="ListBullet"/>
        <w:spacing w:after="60"/>
      </w:pPr>
      <w:r>
        <w:rPr>
          <w:b/>
          <w:color w:val="101828"/>
          <w:sz w:val="21"/>
        </w:rPr>
        <w:t xml:space="preserve">Technology leadership: </w:t>
      </w:r>
      <w:r>
        <w:rPr>
          <w:color w:val="475467"/>
          <w:sz w:val="21"/>
        </w:rPr>
        <w:t>a small, registered, kill-switchable AI core inside a deterministic engine, with model validation in CI — this is what operable AI looks like.</w:t>
      </w:r>
    </w:p>
    <w:p>
      <w:pPr>
        <w:pStyle w:val="ListBullet"/>
        <w:spacing w:after="60"/>
      </w:pPr>
      <w:r>
        <w:rPr>
          <w:b/>
          <w:color w:val="101828"/>
          <w:sz w:val="21"/>
        </w:rPr>
        <w:t xml:space="preserve">Prospective clients: </w:t>
      </w:r>
      <w:r>
        <w:rPr>
          <w:color w:val="475467"/>
          <w:sz w:val="21"/>
        </w:rPr>
        <w:t>you can read every threshold, replay every decision path, and inherit a governance pack on day one.</w:t>
      </w:r>
    </w:p>
    <w:p>
      <w:pPr>
        <w:pStyle w:val="ListBullet"/>
        <w:spacing w:after="60"/>
      </w:pPr>
      <w:r>
        <w:rPr>
          <w:b/>
          <w:color w:val="101828"/>
          <w:sz w:val="21"/>
        </w:rPr>
        <w:t xml:space="preserve">Regulators: </w:t>
      </w:r>
      <w:r>
        <w:rPr>
          <w:color w:val="475467"/>
          <w:sz w:val="21"/>
        </w:rPr>
        <w:t>AI here is registered, scoped, evidenced, human-governed and reversible — adopted the way your guidance asks for it to be adopted.</w:t>
      </w:r>
    </w:p>
    <w:tbl>
      <w:tblPr>
        <w:tblW w:type="auto" w:w="0"/>
        <w:jc w:val="center"/>
        <w:tblLook w:firstColumn="1" w:firstRow="1" w:lastColumn="0" w:lastRow="0" w:noHBand="0" w:noVBand="1" w:val="04A0"/>
      </w:tblPr>
      <w:tblGrid>
        <w:gridCol w:w="9412"/>
      </w:tblGrid>
      <w:tr>
        <w:tc>
          <w:tcPr>
            <w:tcW w:type="dxa" w:w="9411"/>
            <w:shd w:val="clear" w:fill="FDE7F0"/>
            <w:tcBorders>
              <w:left w:val="single" w:sz="24" w:color="BE185D"/>
              <w:top w:val="single" w:sz="2" w:color="FDE7F0"/>
              <w:bottom w:val="single" w:sz="2" w:color="FDE7F0"/>
              <w:right w:val="single" w:sz="2" w:color="FDE7F0"/>
            </w:tcBorders>
          </w:tcPr>
          <w:p>
            <w:pPr>
              <w:spacing w:before="40" w:after="40"/>
            </w:pPr>
            <w:r>
              <w:rPr>
                <w:b/>
                <w:color w:val="101828"/>
                <w:sz w:val="20"/>
              </w:rPr>
              <w:t>THE CLOSING MESSAGE — SLIDE 20</w:t>
              <w:br/>
            </w:r>
            <w:r>
              <w:rPr>
                <w:color w:val="475467"/>
                <w:sz w:val="20"/>
              </w:rPr>
              <w:t>Closing line for the final slide: 'Intelligence everywhere. Authority nowhere — except with the officer the law holds accountable. That is AI as an enabler of compliance.'</w:t>
            </w:r>
          </w:p>
        </w:tc>
      </w:tr>
    </w:tbl>
    <w:p>
      <w:pPr>
        <w:spacing w:after="40"/>
      </w:pPr>
    </w:p>
    <w:p>
      <w:r>
        <w:br w:type="page"/>
      </w:r>
    </w:p>
    <w:p>
      <w:pPr>
        <w:pStyle w:val="Heading1"/>
        <w:pBdr>
          <w:bottom w:val="single" w:sz="10" w:space="4" w:color="BE185D"/>
        </w:pBdr>
        <w:keepNext/>
      </w:pPr>
      <w:r>
        <w:t>Appendix A — 20-Slide Executive Storyboard</w:t>
      </w:r>
    </w:p>
    <w:p>
      <w:pPr>
        <w:spacing w:after="160"/>
      </w:pPr>
      <w:r>
        <w:rPr>
          <w:b w:val="0"/>
          <w:i w:val="0"/>
          <w:color w:val="475467"/>
          <w:sz w:val="19"/>
        </w:rPr>
        <w:t>The 14-section narrative arranged as a 20-slide deck (within the 15–20 target). Column four is written to be handed directly to a designer.</w:t>
      </w:r>
    </w:p>
    <w:p>
      <w:pPr>
        <w:spacing w:after="60"/>
        <w:keepNext/>
      </w:pPr>
      <w:r>
        <w:rPr>
          <w:b/>
          <w:i w:val="0"/>
          <w:color w:val="101828"/>
          <w:sz w:val="18"/>
        </w:rPr>
        <w:t>Table 19 — Slide-by-slide storyboard with speaker key messages and graphic briefs</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510"/>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w:t>
            </w:r>
          </w:p>
        </w:tc>
        <w:tc>
          <w:tcPr>
            <w:tcW w:type="dxa" w:w="2948"/>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Slide title &amp; key message</w:t>
            </w:r>
          </w:p>
        </w:tc>
        <w:tc>
          <w:tcPr>
            <w:tcW w:type="dxa" w:w="3175"/>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Content</w:t>
            </w:r>
          </w:p>
        </w:tc>
        <w:tc>
          <w:tcPr>
            <w:tcW w:type="dxa" w:w="2778"/>
            <w:shd w:val="clear" w:fill="101828"/>
            <w:tcBorders>
              <w:top w:val="single" w:sz="4" w:color="98A2B3"/>
              <w:bottom w:val="single" w:sz="4" w:color="98A2B3"/>
              <w:left w:val="single" w:sz="4" w:color="98A2B3"/>
              <w:right w:val="single" w:sz="4" w:color="98A2B3"/>
            </w:tcBorders>
          </w:tcPr>
          <w:p>
            <w:pPr>
              <w:spacing w:before="40" w:after="40"/>
            </w:pPr>
            <w:r>
              <w:rPr>
                <w:b/>
                <w:color w:val="FFFFFF"/>
                <w:sz w:val="16"/>
              </w:rPr>
              <w:t>Graphic (PowerPoint-ready)</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1</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Title — AI in the Hawkeye Sterling Compliance Platform</w:t>
              <w:br/>
            </w:r>
            <w:r>
              <w:rPr>
                <w:b w:val="0"/>
                <w:i/>
                <w:color w:val="BE185D"/>
                <w:sz w:val="16"/>
              </w:rPr>
              <w:t>AI as an enabler of compliance, not a feature</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Platform name, version 3.7.2, audience line, presenter</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Dark title slide; brand mark; subtitle 'AI proposes. The MLRO disposes.'</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2</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What the platform is</w:t>
              <w:br/>
            </w:r>
            <w:r>
              <w:rPr>
                <w:b w:val="0"/>
                <w:i/>
                <w:color w:val="BE185D"/>
                <w:sz w:val="16"/>
              </w:rPr>
              <w:t>Three surfaces, one compliance operating model</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On-device assessment suite · daily screening engine + AI layer · LLM advisor; UAE DPMS anchor</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Three-panel product shot (the three screens) over a timeline of the daily run (00:07 UTC → 09:00 UAE delivery)</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3</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Why AI, and why bounded</w:t>
              <w:br/>
            </w:r>
            <w:r>
              <w:rPr>
                <w:b w:val="0"/>
                <w:i/>
                <w:color w:val="BE185D"/>
                <w:sz w:val="16"/>
              </w:rPr>
              <w:t>Judgment support scales; authority does not move</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Division of labour: deterministic where evidence must be court-grade; AI where judgment support adds speed; governed at every step</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Two-column 'Deterministic / AI-assisted' ledger with a lock icon on the decision row</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4</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The compliance challenge landscape</w:t>
              <w:br/>
            </w:r>
            <w:r>
              <w:rPr>
                <w:b w:val="0"/>
                <w:i/>
                <w:color w:val="BE185D"/>
                <w:sz w:val="16"/>
              </w:rPr>
              <w:t>Every structural challenge has an owner in the codebase</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Ten challenges (AML, KYC, sanctions, media, RA, TM, false positives, workload, expectations, audit) with the responding mechanism</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2×5 tile wall; each tile: challenge word + mechanism name</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5</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Where AI lives — the component map</w:t>
              <w:br/>
            </w:r>
            <w:r>
              <w:rPr>
                <w:b w:val="0"/>
                <w:i/>
                <w:color w:val="BE185D"/>
                <w:sz w:val="16"/>
              </w:rPr>
              <w:t>Three planes, one human decision point</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Figure 1: on-device plane, serverless AI plane, CI screening plane; Anthropic API opt-in; MLRO at the convergence</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Use Figure 1 (d1-ai-component-map.png) full-bleed</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6</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The LLM family — exact models, exact gates</w:t>
              <w:br/>
            </w:r>
            <w:r>
              <w:rPr>
                <w:b w:val="0"/>
                <w:i/>
                <w:color w:val="BE185D"/>
                <w:sz w:val="16"/>
              </w:rPr>
              <w:t>Three Claude tiers, all opt-in, all guarded</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speed=haiku-4-5 / balanced=sonnet-4-6 / deep=opus-4-8; engine triage haiku, fail-closed; reg-draft opus, PR-gated; 10 req/min; kill switch</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Model-router table with padlock icons on each gate</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7</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The deterministic intelligence core</w:t>
              <w:br/>
            </w:r>
            <w:r>
              <w:rPr>
                <w:b w:val="0"/>
                <w:i/>
                <w:color w:val="BE185D"/>
                <w:sz w:val="16"/>
              </w:rPr>
              <w:t>Evidence-grade screening no model can destabilise</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Fuzzy matching min(full,core) 85/82/97/93; transliteration; 50% rule; PEP role-matching; typology buckets; delta engine</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Annotated matching pipeline: name → variants → composite score → tier</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8</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The nine-stage AI lifecycle</w:t>
              <w:br/>
            </w:r>
            <w:r>
              <w:rPr>
                <w:b w:val="0"/>
                <w:i/>
                <w:color w:val="BE185D"/>
                <w:sz w:val="16"/>
              </w:rPr>
              <w:t>Human review and audit are pipeline stages, not afterthoughts</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Figure 2: input → collection → preprocessing → AI processing → decision support → recommendation → human review → audit → adaptation</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Use Figure 2 (d2-ai-workflow.png); tint stages 4–6, human stage distinct</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9</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Capabilities — present and absent</w:t>
              <w:br/>
            </w:r>
            <w:r>
              <w:rPr>
                <w:b w:val="0"/>
                <w:i/>
                <w:color w:val="BE185D"/>
                <w:sz w:val="16"/>
              </w:rPr>
              <w:t>Capability claims with the platform's own scope-and-gaps discipline</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Present: extraction, NLP, LLM reasoning, classification, risk scoring, similarity, prioritization, recommendations, knowledge, patterns. Absent: OCR, vector DB/RAG store, ML training</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Two-column checklist: green checks with file names; grey 'declared absent' column</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10</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Use cases I — onboarding to investigation</w:t>
              <w:br/>
            </w:r>
            <w:r>
              <w:rPr>
                <w:b w:val="0"/>
                <w:i/>
                <w:color w:val="BE185D"/>
                <w:sz w:val="16"/>
              </w:rPr>
              <w:t>From six-hour onboarding screens to evidence-bundled investigations</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Onboarding, PEP, sanctions review, adverse media — before/after workflow</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Split-screen 'day in the life' (before vs with platform), rows for 4 use cases</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11</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Use cases II — ownership to STR</w:t>
              <w:br/>
            </w:r>
            <w:r>
              <w:rPr>
                <w:b w:val="0"/>
                <w:i/>
                <w:color w:val="BE185D"/>
                <w:sz w:val="16"/>
              </w:rPr>
              <w:t>The highest-impact patterns are closed structurally</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Beneficial ownership 50% rule, EDD triggers, alert prioritization, drafted goAML STR</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Case-file mock: evidence bundle + attached STR draft stamped DRAFT</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12</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Human-in-the-loop, enforced</w:t>
              <w:br/>
            </w:r>
            <w:r>
              <w:rPr>
                <w:b w:val="0"/>
                <w:i/>
                <w:color w:val="BE185D"/>
                <w:sz w:val="16"/>
              </w:rPr>
              <w:t>AI cannot decide here — structurally</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Figure 3: proposes → gate → decides → recorded; allow-lists; draft-only; one-way overrides; four-eyes</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Use Figure 3 (d3-hitl.png) with zone labels PROPOSES/VERIFIES/DECIDES/RECORDS</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13</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AI governance that executes</w:t>
              <w:br/>
            </w:r>
            <w:r>
              <w:rPr>
                <w:b w:val="0"/>
                <w:i/>
                <w:color w:val="BE185D"/>
                <w:sz w:val="16"/>
              </w:rPr>
              <w:t>Registers, gates and evals in CI — not binders</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Asset register (3 assets, shadow-AI CI test); charter-drift tests; bias parity thresholds; red-team contract; kill switches</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Governance 'control room' grid: 12 domains, each with its artifact filename</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14</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Framework alignment — evidenced and honest</w:t>
              <w:br/>
            </w:r>
            <w:r>
              <w:rPr>
                <w:b w:val="0"/>
                <w:i/>
                <w:color w:val="BE185D"/>
                <w:sz w:val="16"/>
              </w:rPr>
              <w:t>Mapped: FATF, UAE regime, PDPL, ISO 42001, NIST AI RMF, EU AI Act. Not claimed: ISO 27001, SOC 2, FCA/MAS/FINRA/AMLD</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Framework table with evidence paths; 'localisation adds' note for other jurisdictions</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Two-band slide: 'Evidenced' band with doc icons; 'Not claimed' band in grey</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15</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Business benefits — two ledgers</w:t>
              <w:br/>
            </w:r>
            <w:r>
              <w:rPr>
                <w:b w:val="0"/>
                <w:i/>
                <w:color w:val="BE185D"/>
                <w:sz w:val="16"/>
              </w:rPr>
              <w:t>Facts today, percentages measured next</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Guaranteed: 100% book daily, 6h onboarding, 1 report/day, AED 0 data fees, 0 silent failures. Measured next: 8 KPIs on the existing dashboard spec</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Stat-tile row + right-hand KPI list with 90-day commitment stamp</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16</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Technical architecture</w:t>
              <w:br/>
            </w:r>
            <w:r>
              <w:rPr>
                <w:b w:val="0"/>
                <w:i/>
                <w:color w:val="BE185D"/>
                <w:sz w:val="16"/>
              </w:rPr>
              <w:t>Five trust tiers, two governed egress paths, no secrets in the browser</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Figure 4; STRIDE-modelled boundaries; encrypted device store; serverless guards; CI heartbeat</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Use Figure 4 (d4-architecture.png) with the two egress arrows highlighted</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17</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Repository as evidence base</w:t>
              <w:br/>
            </w:r>
            <w:r>
              <w:rPr>
                <w:b w:val="0"/>
                <w:i/>
                <w:color w:val="BE185D"/>
                <w:sz w:val="16"/>
              </w:rPr>
              <w:t>A small governed AI core inside a large deterministic engine</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Folder-to-function map; AI executes in 3 places, assured in 2; 63 test files; 47 workflows; 110 governance/docs files</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Treemap of the repo coloured by family (AI / deterministic / governance / assurance)</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18</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SWOT — the self-aware platform</w:t>
              <w:br/>
            </w:r>
            <w:r>
              <w:rPr>
                <w:b w:val="0"/>
                <w:i/>
                <w:color w:val="BE185D"/>
                <w:sz w:val="16"/>
              </w:rPr>
              <w:t>Weaknesses are documented by the platform itself, each with a path</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Four quadrants; DPA and transaction feed as the two open management decisions</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Classic 2×2 with the two open decisions highlighted as action chips</w:t>
            </w:r>
          </w:p>
        </w:tc>
      </w:tr>
      <w:tr>
        <w:tc>
          <w:tcPr>
            <w:tcW w:type="dxa" w:w="510"/>
            <w:tcBorders>
              <w:top w:val="single" w:sz="4" w:color="D0D5DD"/>
              <w:bottom w:val="single" w:sz="4" w:color="D0D5DD"/>
              <w:left w:val="single" w:sz="4" w:color="D0D5DD"/>
              <w:right w:val="single" w:sz="4" w:color="D0D5DD"/>
            </w:tcBorders>
          </w:tcPr>
          <w:p>
            <w:pPr>
              <w:spacing w:before="20" w:after="20"/>
            </w:pPr>
            <w:r>
              <w:rPr>
                <w:b/>
                <w:i w:val="0"/>
                <w:color w:val="101828"/>
                <w:sz w:val="16"/>
              </w:rPr>
              <w:t>19</w:t>
            </w:r>
          </w:p>
        </w:tc>
        <w:tc>
          <w:tcPr>
            <w:tcW w:type="dxa" w:w="2948"/>
            <w:tcBorders>
              <w:top w:val="single" w:sz="4" w:color="D0D5DD"/>
              <w:bottom w:val="single" w:sz="4" w:color="D0D5DD"/>
              <w:left w:val="single" w:sz="4" w:color="D0D5DD"/>
              <w:right w:val="single" w:sz="4" w:color="D0D5DD"/>
            </w:tcBorders>
          </w:tcPr>
          <w:p>
            <w:pPr>
              <w:spacing w:before="20" w:after="20"/>
            </w:pPr>
            <w:r>
              <w:rPr>
                <w:b/>
                <w:i w:val="0"/>
                <w:color w:val="101828"/>
                <w:sz w:val="16"/>
              </w:rPr>
              <w:t>Roadmap — activate, deepen, extend</w:t>
              <w:br/>
            </w:r>
            <w:r>
              <w:rPr>
                <w:b w:val="0"/>
                <w:i/>
                <w:color w:val="BE185D"/>
                <w:sz w:val="16"/>
              </w:rPr>
              <w:t>Sequence value behind governance</w:t>
            </w:r>
          </w:p>
        </w:tc>
        <w:tc>
          <w:tcPr>
            <w:tcW w:type="dxa" w:w="3175"/>
            <w:tcBorders>
              <w:top w:val="single" w:sz="4" w:color="D0D5DD"/>
              <w:bottom w:val="single" w:sz="4" w:color="D0D5DD"/>
              <w:left w:val="single" w:sz="4" w:color="D0D5DD"/>
              <w:right w:val="single" w:sz="4" w:color="D0D5DD"/>
            </w:tcBorders>
          </w:tcPr>
          <w:p>
            <w:pPr>
              <w:spacing w:before="20" w:after="20"/>
            </w:pPr>
            <w:r>
              <w:rPr>
                <w:color w:val="475467"/>
                <w:sz w:val="16"/>
              </w:rPr>
              <w:t>Phase 1 activate (DPA, feed, KPIs); Phase 2 deepen (RAG, dashboards, graph); Phase 3 extend (bounded agents, goAML automation)</w:t>
            </w:r>
          </w:p>
        </w:tc>
        <w:tc>
          <w:tcPr>
            <w:tcW w:type="dxa" w:w="2778"/>
            <w:tcBorders>
              <w:top w:val="single" w:sz="4" w:color="D0D5DD"/>
              <w:bottom w:val="single" w:sz="4" w:color="D0D5DD"/>
              <w:left w:val="single" w:sz="4" w:color="D0D5DD"/>
              <w:right w:val="single" w:sz="4" w:color="D0D5DD"/>
            </w:tcBorders>
          </w:tcPr>
          <w:p>
            <w:pPr>
              <w:spacing w:before="20" w:after="20"/>
            </w:pPr>
            <w:r>
              <w:rPr>
                <w:color w:val="475467"/>
                <w:sz w:val="16"/>
              </w:rPr>
              <w:t>Three-step staircase over a constant band: 'MLRO decides · every output sourced · every run audited'</w:t>
            </w:r>
          </w:p>
        </w:tc>
      </w:tr>
      <w:tr>
        <w:tc>
          <w:tcPr>
            <w:tcW w:type="dxa" w:w="510"/>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20</w:t>
            </w:r>
          </w:p>
        </w:tc>
        <w:tc>
          <w:tcPr>
            <w:tcW w:type="dxa" w:w="2948"/>
            <w:tcBorders>
              <w:top w:val="single" w:sz="4" w:color="D0D5DD"/>
              <w:bottom w:val="single" w:sz="4" w:color="D0D5DD"/>
              <w:left w:val="single" w:sz="4" w:color="D0D5DD"/>
              <w:right w:val="single" w:sz="4" w:color="D0D5DD"/>
            </w:tcBorders>
            <w:shd w:val="clear" w:fill="F2F4F7"/>
          </w:tcPr>
          <w:p>
            <w:pPr>
              <w:spacing w:before="20" w:after="20"/>
            </w:pPr>
            <w:r>
              <w:rPr>
                <w:b/>
                <w:i w:val="0"/>
                <w:color w:val="101828"/>
                <w:sz w:val="16"/>
              </w:rPr>
              <w:t>Closing — the transformation</w:t>
              <w:br/>
            </w:r>
            <w:r>
              <w:rPr>
                <w:b w:val="0"/>
                <w:i/>
                <w:color w:val="BE185D"/>
                <w:sz w:val="16"/>
              </w:rPr>
              <w:t>Intelligence everywhere; authority only with the accountable officer</w:t>
            </w:r>
          </w:p>
        </w:tc>
        <w:tc>
          <w:tcPr>
            <w:tcW w:type="dxa" w:w="3175"/>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The closing narrative and the five per-audience sentences</w:t>
            </w:r>
          </w:p>
        </w:tc>
        <w:tc>
          <w:tcPr>
            <w:tcW w:type="dxa" w:w="2778"/>
            <w:tcBorders>
              <w:top w:val="single" w:sz="4" w:color="D0D5DD"/>
              <w:bottom w:val="single" w:sz="4" w:color="D0D5DD"/>
              <w:left w:val="single" w:sz="4" w:color="D0D5DD"/>
              <w:right w:val="single" w:sz="4" w:color="D0D5DD"/>
            </w:tcBorders>
            <w:shd w:val="clear" w:fill="F2F4F7"/>
          </w:tcPr>
          <w:p>
            <w:pPr>
              <w:spacing w:before="20" w:after="20"/>
            </w:pPr>
            <w:r>
              <w:rPr>
                <w:color w:val="475467"/>
                <w:sz w:val="16"/>
              </w:rPr>
              <w:t>Single-line slide: 'AI proposes. The MLRO disposes.' over the brand mark</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E8F0FE"/>
            <w:tcBorders>
              <w:left w:val="single" w:sz="24" w:color="1D4ED8"/>
              <w:top w:val="single" w:sz="2" w:color="E8F0FE"/>
              <w:bottom w:val="single" w:sz="2" w:color="E8F0FE"/>
              <w:right w:val="single" w:sz="2" w:color="E8F0FE"/>
            </w:tcBorders>
          </w:tcPr>
          <w:p>
            <w:pPr>
              <w:spacing w:before="40" w:after="40"/>
            </w:pPr>
            <w:r>
              <w:rPr>
                <w:b/>
                <w:color w:val="101828"/>
                <w:sz w:val="20"/>
              </w:rPr>
              <w:t>DELIVERY NOTES</w:t>
              <w:br/>
            </w:r>
            <w:r>
              <w:rPr>
                <w:color w:val="475467"/>
                <w:sz w:val="20"/>
              </w:rPr>
              <w:t>Timing guidance: slides 1–4 ≈ 6 minutes (context), 5–12 ≈ 15 minutes (the AI story), 13–16 ≈ 10 minutes (governance and architecture — expand for regulator audiences, compress for clients), 17–20 ≈ 7 minutes (evidence, candour, ask). For a client pitch, slides 13–14 can merge; for a regulator briefing, slide 17 becomes a live repository walkthrough.</w:t>
            </w:r>
          </w:p>
        </w:tc>
      </w:tr>
    </w:tbl>
    <w:p>
      <w:pPr>
        <w:spacing w:after="40"/>
      </w:pPr>
    </w:p>
    <w:p>
      <w:r>
        <w:br w:type="page"/>
      </w:r>
    </w:p>
    <w:p>
      <w:pPr>
        <w:pStyle w:val="Heading1"/>
        <w:pBdr>
          <w:bottom w:val="single" w:sz="10" w:space="4" w:color="BE185D"/>
        </w:pBdr>
        <w:keepNext/>
      </w:pPr>
      <w:r>
        <w:t>Appendix B — Diagram Sources (Mermaid)</w:t>
      </w:r>
    </w:p>
    <w:p>
      <w:pPr>
        <w:spacing w:after="160"/>
      </w:pPr>
      <w:r>
        <w:rPr>
          <w:b w:val="0"/>
          <w:i w:val="0"/>
          <w:color w:val="475467"/>
          <w:sz w:val="19"/>
        </w:rPr>
        <w:t>The four figures are generated from the Mermaid sources below (committed alongside this document), so they can be regenerated, restyled or embedded in other decks. Rendered with mermaid-cli against a white background.</w:t>
      </w:r>
    </w:p>
    <w:p>
      <w:pPr>
        <w:pStyle w:val="Heading3"/>
        <w:keepNext/>
      </w:pPr>
      <w:r>
        <w:rPr>
          <w:b/>
          <w:color w:val="BE185D"/>
        </w:rPr>
        <w:t>Figure 1 — AI component map</w:t>
      </w:r>
    </w:p>
    <w:p>
      <w:pPr>
        <w:shd w:val="clear" w:fill="F8F9FC"/>
        <w:spacing w:after="0" w:before="0"/>
        <w:ind w:left="227"/>
      </w:pPr>
      <w:r>
        <w:rPr>
          <w:rFonts w:ascii="Consolas" w:hAnsi="Consolas"/>
          <w:color w:val="101828"/>
          <w:sz w:val="13"/>
        </w:rPr>
        <w:t>%%{init: {"theme": "base", "themeVariables": {</w:t>
      </w:r>
    </w:p>
    <w:p>
      <w:pPr>
        <w:shd w:val="clear" w:fill="F8F9FC"/>
        <w:spacing w:after="0" w:before="0"/>
        <w:ind w:left="227"/>
      </w:pPr>
      <w:r>
        <w:rPr>
          <w:rFonts w:ascii="Consolas" w:hAnsi="Consolas"/>
          <w:color w:val="101828"/>
          <w:sz w:val="13"/>
        </w:rPr>
        <w:t xml:space="preserve">  "fontFamily": "Segoe UI, Arial, sans-serif",</w:t>
      </w:r>
    </w:p>
    <w:p>
      <w:pPr>
        <w:shd w:val="clear" w:fill="F8F9FC"/>
        <w:spacing w:after="0" w:before="0"/>
        <w:ind w:left="227"/>
      </w:pPr>
      <w:r>
        <w:rPr>
          <w:rFonts w:ascii="Consolas" w:hAnsi="Consolas"/>
          <w:color w:val="101828"/>
          <w:sz w:val="13"/>
        </w:rPr>
        <w:t xml:space="preserve">  "fontSize": "15px",</w:t>
      </w:r>
    </w:p>
    <w:p>
      <w:pPr>
        <w:shd w:val="clear" w:fill="F8F9FC"/>
        <w:spacing w:after="0" w:before="0"/>
        <w:ind w:left="227"/>
      </w:pPr>
      <w:r>
        <w:rPr>
          <w:rFonts w:ascii="Consolas" w:hAnsi="Consolas"/>
          <w:color w:val="101828"/>
          <w:sz w:val="13"/>
        </w:rPr>
        <w:t xml:space="preserve">  "primaryColor": "#F4F6FA",</w:t>
      </w:r>
    </w:p>
    <w:p>
      <w:pPr>
        <w:shd w:val="clear" w:fill="F8F9FC"/>
        <w:spacing w:after="0" w:before="0"/>
        <w:ind w:left="227"/>
      </w:pPr>
      <w:r>
        <w:rPr>
          <w:rFonts w:ascii="Consolas" w:hAnsi="Consolas"/>
          <w:color w:val="101828"/>
          <w:sz w:val="13"/>
        </w:rPr>
        <w:t xml:space="preserve">  "primaryBorderColor": "#22304A",</w:t>
      </w:r>
    </w:p>
    <w:p>
      <w:pPr>
        <w:shd w:val="clear" w:fill="F8F9FC"/>
        <w:spacing w:after="0" w:before="0"/>
        <w:ind w:left="227"/>
      </w:pPr>
      <w:r>
        <w:rPr>
          <w:rFonts w:ascii="Consolas" w:hAnsi="Consolas"/>
          <w:color w:val="101828"/>
          <w:sz w:val="13"/>
        </w:rPr>
        <w:t xml:space="preserve">  "primaryTextColor": "#101828",</w:t>
      </w:r>
    </w:p>
    <w:p>
      <w:pPr>
        <w:shd w:val="clear" w:fill="F8F9FC"/>
        <w:spacing w:after="0" w:before="0"/>
        <w:ind w:left="227"/>
      </w:pPr>
      <w:r>
        <w:rPr>
          <w:rFonts w:ascii="Consolas" w:hAnsi="Consolas"/>
          <w:color w:val="101828"/>
          <w:sz w:val="13"/>
        </w:rPr>
        <w:t xml:space="preserve">  "lineColor": "#44506B",</w:t>
      </w:r>
    </w:p>
    <w:p>
      <w:pPr>
        <w:shd w:val="clear" w:fill="F8F9FC"/>
        <w:spacing w:after="0" w:before="0"/>
        <w:ind w:left="227"/>
      </w:pPr>
      <w:r>
        <w:rPr>
          <w:rFonts w:ascii="Consolas" w:hAnsi="Consolas"/>
          <w:color w:val="101828"/>
          <w:sz w:val="13"/>
        </w:rPr>
        <w:t xml:space="preserve">  "clusterBkg": "#FFFFFF",</w:t>
      </w:r>
    </w:p>
    <w:p>
      <w:pPr>
        <w:shd w:val="clear" w:fill="F8F9FC"/>
        <w:spacing w:after="0" w:before="0"/>
        <w:ind w:left="227"/>
      </w:pPr>
      <w:r>
        <w:rPr>
          <w:rFonts w:ascii="Consolas" w:hAnsi="Consolas"/>
          <w:color w:val="101828"/>
          <w:sz w:val="13"/>
        </w:rPr>
        <w:t xml:space="preserve">  "clusterBorder": "#9AA4B8"</w:t>
      </w:r>
    </w:p>
    <w:p>
      <w:pPr>
        <w:shd w:val="clear" w:fill="F8F9FC"/>
        <w:spacing w:after="0" w:before="0"/>
        <w:ind w:left="227"/>
      </w:pPr>
      <w:r>
        <w:rPr>
          <w:rFonts w:ascii="Consolas" w:hAnsi="Consolas"/>
          <w:color w:val="101828"/>
          <w:sz w:val="13"/>
        </w:rPr>
        <w:t>}}}%%</w:t>
      </w:r>
    </w:p>
    <w:p>
      <w:pPr>
        <w:shd w:val="clear" w:fill="F8F9FC"/>
        <w:spacing w:after="0" w:before="0"/>
        <w:ind w:left="227"/>
      </w:pPr>
      <w:r>
        <w:rPr>
          <w:rFonts w:ascii="Consolas" w:hAnsi="Consolas"/>
          <w:color w:val="101828"/>
          <w:sz w:val="13"/>
        </w:rPr>
        <w:t>flowchart TB</w:t>
      </w:r>
    </w:p>
    <w:p>
      <w:pPr>
        <w:shd w:val="clear" w:fill="F8F9FC"/>
        <w:spacing w:after="0" w:before="0"/>
        <w:ind w:left="227"/>
      </w:pPr>
      <w:r>
        <w:rPr>
          <w:rFonts w:ascii="Consolas" w:hAnsi="Consolas"/>
          <w:color w:val="101828"/>
          <w:sz w:val="13"/>
        </w:rPr>
        <w:t xml:space="preserve">  subgraph DEVICE["PLANE 1 · ON-DEVICE APPLICATION (browser, zero backend)"]</w:t>
      </w:r>
    </w:p>
    <w:p>
      <w:pPr>
        <w:shd w:val="clear" w:fill="F8F9FC"/>
        <w:spacing w:after="0" w:before="0"/>
        <w:ind w:left="227"/>
      </w:pPr>
      <w:r>
        <w:rPr>
          <w:rFonts w:ascii="Consolas" w:hAnsi="Consolas"/>
          <w:color w:val="101828"/>
          <w:sz w:val="13"/>
        </w:rPr>
        <w:t xml:space="preserve">    RA["Entity Risk Assessment&lt;br/&gt;&lt;i&gt;index.html / app.js&lt;/i&gt;&lt;br/&gt;Deterministic 0–30 scoring · hard outcomes"]</w:t>
      </w:r>
    </w:p>
    <w:p>
      <w:pPr>
        <w:shd w:val="clear" w:fill="F8F9FC"/>
        <w:spacing w:after="0" w:before="0"/>
        <w:ind w:left="227"/>
      </w:pPr>
      <w:r>
        <w:rPr>
          <w:rFonts w:ascii="Consolas" w:hAnsi="Consolas"/>
          <w:color w:val="101828"/>
          <w:sz w:val="13"/>
        </w:rPr>
        <w:t xml:space="preserve">    PERSONA["AI Risk Advisor personas&lt;br/&gt;&lt;i&gt;Vale · Cypher · Ember&lt;/i&gt;&lt;br/&gt;Rule-driven advisory UX"]</w:t>
      </w:r>
    </w:p>
    <w:p>
      <w:pPr>
        <w:shd w:val="clear" w:fill="F8F9FC"/>
        <w:spacing w:after="0" w:before="0"/>
        <w:ind w:left="227"/>
      </w:pPr>
      <w:r>
        <w:rPr>
          <w:rFonts w:ascii="Consolas" w:hAnsi="Consolas"/>
          <w:color w:val="101828"/>
          <w:sz w:val="13"/>
        </w:rPr>
        <w:t xml:space="preserve">    CONSOLE["AI Operations Console&lt;br/&gt;&lt;i&gt;console.html / console.js&lt;/i&gt;"]</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EDGE["PLANE 2 · SERVERLESS AI (Netlify Functions)"]</w:t>
      </w:r>
    </w:p>
    <w:p>
      <w:pPr>
        <w:shd w:val="clear" w:fill="F8F9FC"/>
        <w:spacing w:after="0" w:before="0"/>
        <w:ind w:left="227"/>
      </w:pPr>
      <w:r>
        <w:rPr>
          <w:rFonts w:ascii="Consolas" w:hAnsi="Consolas"/>
          <w:color w:val="101828"/>
          <w:sz w:val="13"/>
        </w:rPr>
        <w:t xml:space="preserve">    BRAIN["Advisor Intelligence Core&lt;br/&gt;&lt;i&gt;netlify/functions/brain-soul.js&lt;/i&gt;&lt;br/&gt;LLM Q&amp;amp;A · Soul Charter P1–P10&lt;br/&gt;7 runtime guards · audit line"]</w:t>
      </w:r>
    </w:p>
    <w:p>
      <w:pPr>
        <w:shd w:val="clear" w:fill="F8F9FC"/>
        <w:spacing w:after="0" w:before="0"/>
        <w:ind w:left="227"/>
      </w:pPr>
      <w:r>
        <w:rPr>
          <w:rFonts w:ascii="Consolas" w:hAnsi="Consolas"/>
          <w:color w:val="101828"/>
          <w:sz w:val="13"/>
        </w:rPr>
        <w:t xml:space="preserve">    ADV["Hawkeye Sterling Advisor&lt;br/&gt;&lt;i&gt;advisor.html / advisor.js&lt;/i&gt;&lt;br/&gt;Cited Q&amp;amp;A · 17 personas · AUP gate"]</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CI["PLANE 3 · AUTOMATED SCREENING &amp;amp; AI LAYER (GitHub Actions)"]</w:t>
      </w:r>
    </w:p>
    <w:p>
      <w:pPr>
        <w:shd w:val="clear" w:fill="F8F9FC"/>
        <w:spacing w:after="0" w:before="0"/>
        <w:ind w:left="227"/>
      </w:pPr>
      <w:r>
        <w:rPr>
          <w:rFonts w:ascii="Consolas" w:hAnsi="Consolas"/>
          <w:color w:val="101828"/>
          <w:sz w:val="13"/>
        </w:rPr>
        <w:t xml:space="preserve">    SCREEN["Daily screening engine&lt;br/&gt;&lt;i&gt;screen.py&lt;/i&gt;&lt;br/&gt;Sanctions · adverse media · PEP"]</w:t>
      </w:r>
    </w:p>
    <w:p>
      <w:pPr>
        <w:shd w:val="clear" w:fill="F8F9FC"/>
        <w:spacing w:after="0" w:before="0"/>
        <w:ind w:left="227"/>
      </w:pPr>
      <w:r>
        <w:rPr>
          <w:rFonts w:ascii="Consolas" w:hAnsi="Consolas"/>
          <w:color w:val="101828"/>
          <w:sz w:val="13"/>
        </w:rPr>
        <w:t xml:space="preserve">    AI["AI layer&lt;br/&gt;&lt;i&gt;ai.py&lt;/i&gt;&lt;br/&gt;Risk rating · triage · STR draft&lt;br/&gt;Prompt-injection defence"]</w:t>
      </w:r>
    </w:p>
    <w:p>
      <w:pPr>
        <w:shd w:val="clear" w:fill="F8F9FC"/>
        <w:spacing w:after="0" w:before="0"/>
        <w:ind w:left="227"/>
      </w:pPr>
      <w:r>
        <w:rPr>
          <w:rFonts w:ascii="Consolas" w:hAnsi="Consolas"/>
          <w:color w:val="101828"/>
          <w:sz w:val="13"/>
        </w:rPr>
        <w:t xml:space="preserve">    AGENTS["Agentic operating model&lt;br/&gt;&lt;i&gt;agents.py&lt;/i&gt;&lt;br/&gt;Least-privilege agents · QA gate"]</w:t>
      </w:r>
    </w:p>
    <w:p>
      <w:pPr>
        <w:shd w:val="clear" w:fill="F8F9FC"/>
        <w:spacing w:after="0" w:before="0"/>
        <w:ind w:left="227"/>
      </w:pPr>
      <w:r>
        <w:rPr>
          <w:rFonts w:ascii="Consolas" w:hAnsi="Consolas"/>
          <w:color w:val="101828"/>
          <w:sz w:val="13"/>
        </w:rPr>
        <w:t xml:space="preserve">    REGDRAFT["Regulatory Watch AI drafter&lt;br/&gt;&lt;i&gt;scripts/reg-draft.mjs&lt;/i&gt;&lt;br/&gt;PR-gated update proposals"]</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LLM(["Anthropic Claude API&lt;br/&gt;&lt;b&gt;opt-in, key-gated&lt;/b&gt;"])</w:t>
      </w:r>
    </w:p>
    <w:p>
      <w:pPr>
        <w:shd w:val="clear" w:fill="F8F9FC"/>
        <w:spacing w:after="0" w:before="0"/>
        <w:ind w:left="227"/>
      </w:pPr>
      <w:r>
        <w:rPr>
          <w:rFonts w:ascii="Consolas" w:hAnsi="Consolas"/>
          <w:color w:val="101828"/>
          <w:sz w:val="13"/>
        </w:rPr>
        <w:t xml:space="preserve">  MLRO{{"MLRO / Compliance Officer&lt;br/&gt;&lt;b&gt;every decision is human&lt;/b&gt;"}}</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ADV --&gt; BRAIN</w:t>
      </w:r>
    </w:p>
    <w:p>
      <w:pPr>
        <w:shd w:val="clear" w:fill="F8F9FC"/>
        <w:spacing w:after="0" w:before="0"/>
        <w:ind w:left="227"/>
      </w:pPr>
      <w:r>
        <w:rPr>
          <w:rFonts w:ascii="Consolas" w:hAnsi="Consolas"/>
          <w:color w:val="101828"/>
          <w:sz w:val="13"/>
        </w:rPr>
        <w:t xml:space="preserve">  BRAIN -. "when enabled" .-&gt; LLM</w:t>
      </w:r>
    </w:p>
    <w:p>
      <w:pPr>
        <w:shd w:val="clear" w:fill="F8F9FC"/>
        <w:spacing w:after="0" w:before="0"/>
        <w:ind w:left="227"/>
      </w:pPr>
      <w:r>
        <w:rPr>
          <w:rFonts w:ascii="Consolas" w:hAnsi="Consolas"/>
          <w:color w:val="101828"/>
          <w:sz w:val="13"/>
        </w:rPr>
        <w:t xml:space="preserve">  AI -. "opt-in triage" .-&gt; LLM</w:t>
      </w:r>
    </w:p>
    <w:p>
      <w:pPr>
        <w:shd w:val="clear" w:fill="F8F9FC"/>
        <w:spacing w:after="0" w:before="0"/>
        <w:ind w:left="227"/>
      </w:pPr>
      <w:r>
        <w:rPr>
          <w:rFonts w:ascii="Consolas" w:hAnsi="Consolas"/>
          <w:color w:val="101828"/>
          <w:sz w:val="13"/>
        </w:rPr>
        <w:t xml:space="preserve">  REGDRAFT -. "if key present" .-&gt; LLM</w:t>
      </w:r>
    </w:p>
    <w:p>
      <w:pPr>
        <w:shd w:val="clear" w:fill="F8F9FC"/>
        <w:spacing w:after="0" w:before="0"/>
        <w:ind w:left="227"/>
      </w:pPr>
      <w:r>
        <w:rPr>
          <w:rFonts w:ascii="Consolas" w:hAnsi="Consolas"/>
          <w:color w:val="101828"/>
          <w:sz w:val="13"/>
        </w:rPr>
        <w:t xml:space="preserve">  SCREEN --&gt; AI --&gt; AGENTS</w:t>
      </w:r>
    </w:p>
    <w:p>
      <w:pPr>
        <w:shd w:val="clear" w:fill="F8F9FC"/>
        <w:spacing w:after="0" w:before="0"/>
        <w:ind w:left="227"/>
      </w:pPr>
      <w:r>
        <w:rPr>
          <w:rFonts w:ascii="Consolas" w:hAnsi="Consolas"/>
          <w:color w:val="101828"/>
          <w:sz w:val="13"/>
        </w:rPr>
        <w:t xml:space="preserve">  RA --&gt; MLRO</w:t>
      </w:r>
    </w:p>
    <w:p>
      <w:pPr>
        <w:shd w:val="clear" w:fill="F8F9FC"/>
        <w:spacing w:after="0" w:before="0"/>
        <w:ind w:left="227"/>
      </w:pPr>
      <w:r>
        <w:rPr>
          <w:rFonts w:ascii="Consolas" w:hAnsi="Consolas"/>
          <w:color w:val="101828"/>
          <w:sz w:val="13"/>
        </w:rPr>
        <w:t xml:space="preserve">  PERSONA --&gt; RA</w:t>
      </w:r>
    </w:p>
    <w:p>
      <w:pPr>
        <w:shd w:val="clear" w:fill="F8F9FC"/>
        <w:spacing w:after="0" w:before="0"/>
        <w:ind w:left="227"/>
      </w:pPr>
      <w:r>
        <w:rPr>
          <w:rFonts w:ascii="Consolas" w:hAnsi="Consolas"/>
          <w:color w:val="101828"/>
          <w:sz w:val="13"/>
        </w:rPr>
        <w:t xml:space="preserve">  CONSOLE --&gt; MLRO</w:t>
      </w:r>
    </w:p>
    <w:p>
      <w:pPr>
        <w:shd w:val="clear" w:fill="F8F9FC"/>
        <w:spacing w:after="0" w:before="0"/>
        <w:ind w:left="227"/>
      </w:pPr>
      <w:r>
        <w:rPr>
          <w:rFonts w:ascii="Consolas" w:hAnsi="Consolas"/>
          <w:color w:val="101828"/>
          <w:sz w:val="13"/>
        </w:rPr>
        <w:t xml:space="preserve">  BRAIN --&gt; MLRO</w:t>
      </w:r>
    </w:p>
    <w:p>
      <w:pPr>
        <w:shd w:val="clear" w:fill="F8F9FC"/>
        <w:spacing w:after="0" w:before="0"/>
        <w:ind w:left="227"/>
      </w:pPr>
      <w:r>
        <w:rPr>
          <w:rFonts w:ascii="Consolas" w:hAnsi="Consolas"/>
          <w:color w:val="101828"/>
          <w:sz w:val="13"/>
        </w:rPr>
        <w:t xml:space="preserve">  AGENTS --&gt; MLRO</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classDef device fill:#E8F0FE,stroke:#1D4ED8,color:#0F1D40;</w:t>
      </w:r>
    </w:p>
    <w:p>
      <w:pPr>
        <w:shd w:val="clear" w:fill="F8F9FC"/>
        <w:spacing w:after="0" w:before="0"/>
        <w:ind w:left="227"/>
      </w:pPr>
      <w:r>
        <w:rPr>
          <w:rFonts w:ascii="Consolas" w:hAnsi="Consolas"/>
          <w:color w:val="101828"/>
          <w:sz w:val="13"/>
        </w:rPr>
        <w:t xml:space="preserve">  classDef edge fill:#FDE7F0,stroke:#BE185D,color:#4A0D28;</w:t>
      </w:r>
    </w:p>
    <w:p>
      <w:pPr>
        <w:shd w:val="clear" w:fill="F8F9FC"/>
        <w:spacing w:after="0" w:before="0"/>
        <w:ind w:left="227"/>
      </w:pPr>
      <w:r>
        <w:rPr>
          <w:rFonts w:ascii="Consolas" w:hAnsi="Consolas"/>
          <w:color w:val="101828"/>
          <w:sz w:val="13"/>
        </w:rPr>
        <w:t xml:space="preserve">  classDef ci fill:#E7F6EC,stroke:#047857,color:#052E1C;</w:t>
      </w:r>
    </w:p>
    <w:p>
      <w:pPr>
        <w:shd w:val="clear" w:fill="F8F9FC"/>
        <w:spacing w:after="0" w:before="0"/>
        <w:ind w:left="227"/>
      </w:pPr>
      <w:r>
        <w:rPr>
          <w:rFonts w:ascii="Consolas" w:hAnsi="Consolas"/>
          <w:color w:val="101828"/>
          <w:sz w:val="13"/>
        </w:rPr>
        <w:t xml:space="preserve">  classDef ext fill:#FFF4E0,stroke:#B45309,color:#4A2A05;</w:t>
      </w:r>
    </w:p>
    <w:p>
      <w:pPr>
        <w:shd w:val="clear" w:fill="F8F9FC"/>
        <w:spacing w:after="0" w:before="0"/>
        <w:ind w:left="227"/>
      </w:pPr>
      <w:r>
        <w:rPr>
          <w:rFonts w:ascii="Consolas" w:hAnsi="Consolas"/>
          <w:color w:val="101828"/>
          <w:sz w:val="13"/>
        </w:rPr>
        <w:t xml:space="preserve">  classDef human fill:#F1E8FD,stroke:#6D28D9,color:#2A1052;</w:t>
      </w:r>
    </w:p>
    <w:p>
      <w:pPr>
        <w:shd w:val="clear" w:fill="F8F9FC"/>
        <w:spacing w:after="0" w:before="0"/>
        <w:ind w:left="227"/>
      </w:pPr>
      <w:r>
        <w:rPr>
          <w:rFonts w:ascii="Consolas" w:hAnsi="Consolas"/>
          <w:color w:val="101828"/>
          <w:sz w:val="13"/>
        </w:rPr>
        <w:t xml:space="preserve">  class RA,PERSONA,CONSOLE device;</w:t>
      </w:r>
    </w:p>
    <w:p>
      <w:pPr>
        <w:shd w:val="clear" w:fill="F8F9FC"/>
        <w:spacing w:after="0" w:before="0"/>
        <w:ind w:left="227"/>
      </w:pPr>
      <w:r>
        <w:rPr>
          <w:rFonts w:ascii="Consolas" w:hAnsi="Consolas"/>
          <w:color w:val="101828"/>
          <w:sz w:val="13"/>
        </w:rPr>
        <w:t xml:space="preserve">  class BRAIN,ADV edge;</w:t>
      </w:r>
    </w:p>
    <w:p>
      <w:pPr>
        <w:shd w:val="clear" w:fill="F8F9FC"/>
        <w:spacing w:after="0" w:before="0"/>
        <w:ind w:left="227"/>
      </w:pPr>
      <w:r>
        <w:rPr>
          <w:rFonts w:ascii="Consolas" w:hAnsi="Consolas"/>
          <w:color w:val="101828"/>
          <w:sz w:val="13"/>
        </w:rPr>
        <w:t xml:space="preserve">  class SCREEN,AI,AGENTS,REGDRAFT ci;</w:t>
      </w:r>
    </w:p>
    <w:p>
      <w:pPr>
        <w:shd w:val="clear" w:fill="F8F9FC"/>
        <w:spacing w:after="0" w:before="0"/>
        <w:ind w:left="227"/>
      </w:pPr>
      <w:r>
        <w:rPr>
          <w:rFonts w:ascii="Consolas" w:hAnsi="Consolas"/>
          <w:color w:val="101828"/>
          <w:sz w:val="13"/>
        </w:rPr>
        <w:t xml:space="preserve">  class LLM ext;</w:t>
      </w:r>
    </w:p>
    <w:p>
      <w:pPr>
        <w:shd w:val="clear" w:fill="F8F9FC"/>
        <w:spacing w:after="0" w:before="0"/>
        <w:ind w:left="227"/>
      </w:pPr>
      <w:r>
        <w:rPr>
          <w:rFonts w:ascii="Consolas" w:hAnsi="Consolas"/>
          <w:color w:val="101828"/>
          <w:sz w:val="13"/>
        </w:rPr>
        <w:t xml:space="preserve">  class MLRO human;</w:t>
      </w:r>
    </w:p>
    <w:p>
      <w:pPr>
        <w:spacing w:after="40"/>
      </w:pPr>
    </w:p>
    <w:p>
      <w:pPr>
        <w:pStyle w:val="Heading3"/>
        <w:keepNext/>
      </w:pPr>
      <w:r>
        <w:rPr>
          <w:b/>
          <w:color w:val="BE185D"/>
        </w:rPr>
        <w:t>Figure 2 — Nine-stage AI lifecycle</w:t>
      </w:r>
    </w:p>
    <w:p>
      <w:pPr>
        <w:shd w:val="clear" w:fill="F8F9FC"/>
        <w:spacing w:after="0" w:before="0"/>
        <w:ind w:left="227"/>
      </w:pPr>
      <w:r>
        <w:rPr>
          <w:rFonts w:ascii="Consolas" w:hAnsi="Consolas"/>
          <w:color w:val="101828"/>
          <w:sz w:val="13"/>
        </w:rPr>
        <w:t>%%{init: {"theme": "base", "themeVariables": {</w:t>
      </w:r>
    </w:p>
    <w:p>
      <w:pPr>
        <w:shd w:val="clear" w:fill="F8F9FC"/>
        <w:spacing w:after="0" w:before="0"/>
        <w:ind w:left="227"/>
      </w:pPr>
      <w:r>
        <w:rPr>
          <w:rFonts w:ascii="Consolas" w:hAnsi="Consolas"/>
          <w:color w:val="101828"/>
          <w:sz w:val="13"/>
        </w:rPr>
        <w:t xml:space="preserve">  "fontFamily": "Segoe UI, Arial, sans-serif",</w:t>
      </w:r>
    </w:p>
    <w:p>
      <w:pPr>
        <w:shd w:val="clear" w:fill="F8F9FC"/>
        <w:spacing w:after="0" w:before="0"/>
        <w:ind w:left="227"/>
      </w:pPr>
      <w:r>
        <w:rPr>
          <w:rFonts w:ascii="Consolas" w:hAnsi="Consolas"/>
          <w:color w:val="101828"/>
          <w:sz w:val="13"/>
        </w:rPr>
        <w:t xml:space="preserve">  "fontSize": "15px",</w:t>
      </w:r>
    </w:p>
    <w:p>
      <w:pPr>
        <w:shd w:val="clear" w:fill="F8F9FC"/>
        <w:spacing w:after="0" w:before="0"/>
        <w:ind w:left="227"/>
      </w:pPr>
      <w:r>
        <w:rPr>
          <w:rFonts w:ascii="Consolas" w:hAnsi="Consolas"/>
          <w:color w:val="101828"/>
          <w:sz w:val="13"/>
        </w:rPr>
        <w:t xml:space="preserve">  "primaryColor": "#F4F6FA",</w:t>
      </w:r>
    </w:p>
    <w:p>
      <w:pPr>
        <w:shd w:val="clear" w:fill="F8F9FC"/>
        <w:spacing w:after="0" w:before="0"/>
        <w:ind w:left="227"/>
      </w:pPr>
      <w:r>
        <w:rPr>
          <w:rFonts w:ascii="Consolas" w:hAnsi="Consolas"/>
          <w:color w:val="101828"/>
          <w:sz w:val="13"/>
        </w:rPr>
        <w:t xml:space="preserve">  "primaryBorderColor": "#22304A",</w:t>
      </w:r>
    </w:p>
    <w:p>
      <w:pPr>
        <w:shd w:val="clear" w:fill="F8F9FC"/>
        <w:spacing w:after="0" w:before="0"/>
        <w:ind w:left="227"/>
      </w:pPr>
      <w:r>
        <w:rPr>
          <w:rFonts w:ascii="Consolas" w:hAnsi="Consolas"/>
          <w:color w:val="101828"/>
          <w:sz w:val="13"/>
        </w:rPr>
        <w:t xml:space="preserve">  "primaryTextColor": "#101828",</w:t>
      </w:r>
    </w:p>
    <w:p>
      <w:pPr>
        <w:shd w:val="clear" w:fill="F8F9FC"/>
        <w:spacing w:after="0" w:before="0"/>
        <w:ind w:left="227"/>
      </w:pPr>
      <w:r>
        <w:rPr>
          <w:rFonts w:ascii="Consolas" w:hAnsi="Consolas"/>
          <w:color w:val="101828"/>
          <w:sz w:val="13"/>
        </w:rPr>
        <w:t xml:space="preserve">  "lineColor": "#44506B",</w:t>
      </w:r>
    </w:p>
    <w:p>
      <w:pPr>
        <w:shd w:val="clear" w:fill="F8F9FC"/>
        <w:spacing w:after="0" w:before="0"/>
        <w:ind w:left="227"/>
      </w:pPr>
      <w:r>
        <w:rPr>
          <w:rFonts w:ascii="Consolas" w:hAnsi="Consolas"/>
          <w:color w:val="101828"/>
          <w:sz w:val="13"/>
        </w:rPr>
        <w:t xml:space="preserve">  "clusterBkg": "#FFFFFF",</w:t>
      </w:r>
    </w:p>
    <w:p>
      <w:pPr>
        <w:shd w:val="clear" w:fill="F8F9FC"/>
        <w:spacing w:after="0" w:before="0"/>
        <w:ind w:left="227"/>
      </w:pPr>
      <w:r>
        <w:rPr>
          <w:rFonts w:ascii="Consolas" w:hAnsi="Consolas"/>
          <w:color w:val="101828"/>
          <w:sz w:val="13"/>
        </w:rPr>
        <w:t xml:space="preserve">  "clusterBorder": "#9AA4B8"</w:t>
      </w:r>
    </w:p>
    <w:p>
      <w:pPr>
        <w:shd w:val="clear" w:fill="F8F9FC"/>
        <w:spacing w:after="0" w:before="0"/>
        <w:ind w:left="227"/>
      </w:pPr>
      <w:r>
        <w:rPr>
          <w:rFonts w:ascii="Consolas" w:hAnsi="Consolas"/>
          <w:color w:val="101828"/>
          <w:sz w:val="13"/>
        </w:rPr>
        <w:t>}}}%%</w:t>
      </w:r>
    </w:p>
    <w:p>
      <w:pPr>
        <w:shd w:val="clear" w:fill="F8F9FC"/>
        <w:spacing w:after="0" w:before="0"/>
        <w:ind w:left="227"/>
      </w:pPr>
      <w:r>
        <w:rPr>
          <w:rFonts w:ascii="Consolas" w:hAnsi="Consolas"/>
          <w:color w:val="101828"/>
          <w:sz w:val="13"/>
        </w:rPr>
        <w:t>flowchart TB</w:t>
      </w:r>
    </w:p>
    <w:p>
      <w:pPr>
        <w:shd w:val="clear" w:fill="F8F9FC"/>
        <w:spacing w:after="0" w:before="0"/>
        <w:ind w:left="227"/>
      </w:pPr>
      <w:r>
        <w:rPr>
          <w:rFonts w:ascii="Consolas" w:hAnsi="Consolas"/>
          <w:color w:val="101828"/>
          <w:sz w:val="13"/>
        </w:rPr>
        <w:t xml:space="preserve">  S1["&lt;b&gt;1 · USER INPUT&lt;/b&gt;&lt;br/&gt;Customer Database (Asana) ·&lt;br/&gt;analyst form entries · Advisor questions"]</w:t>
      </w:r>
    </w:p>
    <w:p>
      <w:pPr>
        <w:shd w:val="clear" w:fill="F8F9FC"/>
        <w:spacing w:after="0" w:before="0"/>
        <w:ind w:left="227"/>
      </w:pPr>
      <w:r>
        <w:rPr>
          <w:rFonts w:ascii="Consolas" w:hAnsi="Consolas"/>
          <w:color w:val="101828"/>
          <w:sz w:val="13"/>
        </w:rPr>
        <w:t xml:space="preserve">  S2["&lt;b&gt;2 · DATA COLLECTION&lt;/b&gt;&lt;br/&gt;OFAC SDN · UN · EU FSF · UK OFSI · UAE EOCN · Canada SEMA&lt;br/&gt;Google News (5 locales) · GDELT · OpenSanctions · Wikidata"]</w:t>
      </w:r>
    </w:p>
    <w:p>
      <w:pPr>
        <w:shd w:val="clear" w:fill="F8F9FC"/>
        <w:spacing w:after="0" w:before="0"/>
        <w:ind w:left="227"/>
      </w:pPr>
      <w:r>
        <w:rPr>
          <w:rFonts w:ascii="Consolas" w:hAnsi="Consolas"/>
          <w:color w:val="101828"/>
          <w:sz w:val="13"/>
        </w:rPr>
        <w:t xml:space="preserve">  S3["&lt;b&gt;3 · PREPROCESSING&lt;/b&gt;&lt;br/&gt;Unicode fold &amp;amp; normalise · transliteration variants (AR/TR)&lt;br/&gt;sanitise untrusted web text · prompt-injection screen"]</w:t>
      </w:r>
    </w:p>
    <w:p>
      <w:pPr>
        <w:shd w:val="clear" w:fill="F8F9FC"/>
        <w:spacing w:after="0" w:before="0"/>
        <w:ind w:left="227"/>
      </w:pPr>
      <w:r>
        <w:rPr>
          <w:rFonts w:ascii="Consolas" w:hAnsi="Consolas"/>
          <w:color w:val="101828"/>
          <w:sz w:val="13"/>
        </w:rPr>
        <w:t xml:space="preserve">  S4["&lt;b&gt;4 · AI PROCESSING&lt;/b&gt;&lt;br/&gt;Fuzzy match + name-core check · 50% ownership rule&lt;br/&gt;severity/relevance triage · related-party graph&lt;br/&gt;&lt;i&gt;optional LLM sharpen (never downgrade)&lt;/i&gt;"]</w:t>
      </w:r>
    </w:p>
    <w:p>
      <w:pPr>
        <w:shd w:val="clear" w:fill="F8F9FC"/>
        <w:spacing w:after="0" w:before="0"/>
        <w:ind w:left="227"/>
      </w:pPr>
      <w:r>
        <w:rPr>
          <w:rFonts w:ascii="Consolas" w:hAnsi="Consolas"/>
          <w:color w:val="101828"/>
          <w:sz w:val="13"/>
        </w:rPr>
        <w:t xml:space="preserve">  S5["&lt;b&gt;5 · DECISION SUPPORT&lt;/b&gt;&lt;br/&gt;Explainable risk rating (factors shown)&lt;br/&gt;'why flagged / what to check' notes · delta vs last run"]</w:t>
      </w:r>
    </w:p>
    <w:p>
      <w:pPr>
        <w:shd w:val="clear" w:fill="F8F9FC"/>
        <w:spacing w:after="0" w:before="0"/>
        <w:ind w:left="227"/>
      </w:pPr>
      <w:r>
        <w:rPr>
          <w:rFonts w:ascii="Consolas" w:hAnsi="Consolas"/>
          <w:color w:val="101828"/>
          <w:sz w:val="13"/>
        </w:rPr>
        <w:t xml:space="preserve">  S6["&lt;b&gt;6 · COMPLIANCE RECOMMENDATION&lt;/b&gt;&lt;br/&gt;EDD cadence · next checks · goAML STR/SAR draft&lt;br/&gt;&lt;i&gt;proposals only — nothing is decided&lt;/i&gt;"]</w:t>
      </w:r>
    </w:p>
    <w:p>
      <w:pPr>
        <w:shd w:val="clear" w:fill="F8F9FC"/>
        <w:spacing w:after="0" w:before="0"/>
        <w:ind w:left="227"/>
      </w:pPr>
      <w:r>
        <w:rPr>
          <w:rFonts w:ascii="Consolas" w:hAnsi="Consolas"/>
          <w:color w:val="101828"/>
          <w:sz w:val="13"/>
        </w:rPr>
        <w:t xml:space="preserve">  S7{{"&lt;b&gt;7 · HUMAN REVIEW&lt;/b&gt;&lt;br/&gt;MLRO case subtasks · disposition per hit&lt;br/&gt;four-eyes review · analyst override (ratchet-up only)"}}</w:t>
      </w:r>
    </w:p>
    <w:p>
      <w:pPr>
        <w:shd w:val="clear" w:fill="F8F9FC"/>
        <w:spacing w:after="0" w:before="0"/>
        <w:ind w:left="227"/>
      </w:pPr>
      <w:r>
        <w:rPr>
          <w:rFonts w:ascii="Consolas" w:hAnsi="Consolas"/>
          <w:color w:val="101828"/>
          <w:sz w:val="13"/>
        </w:rPr>
        <w:t xml:space="preserve">  S8["&lt;b&gt;8 · AUDIT TRAIL&lt;/b&gt;&lt;br/&gt;Agent action log · QA governance gate · audit lines&lt;br/&gt;hash-chained device log · 10-year retention"]</w:t>
      </w:r>
    </w:p>
    <w:p>
      <w:pPr>
        <w:shd w:val="clear" w:fill="F8F9FC"/>
        <w:spacing w:after="0" w:before="0"/>
        <w:ind w:left="227"/>
      </w:pPr>
      <w:r>
        <w:rPr>
          <w:rFonts w:ascii="Consolas" w:hAnsi="Consolas"/>
          <w:color w:val="101828"/>
          <w:sz w:val="13"/>
        </w:rPr>
        <w:t xml:space="preserve">  S9["&lt;b&gt;9 · CONTINUOUS ADAPTATION&lt;/b&gt;&lt;br/&gt;Delta state between runs · learned delivery budget&lt;br/&gt;weekly evals · monthly watchdogs · &lt;i&gt;no model retraining&lt;/i&gt;"]</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S1 --&gt; S2 --&gt; S3 --&gt; S4 --&gt; S5 --&gt; S6 --&gt; S7 --&gt; S8 --&gt; S9</w:t>
      </w:r>
    </w:p>
    <w:p>
      <w:pPr>
        <w:shd w:val="clear" w:fill="F8F9FC"/>
        <w:spacing w:after="0" w:before="0"/>
        <w:ind w:left="227"/>
      </w:pPr>
      <w:r>
        <w:rPr>
          <w:rFonts w:ascii="Consolas" w:hAnsi="Consolas"/>
          <w:color w:val="101828"/>
          <w:sz w:val="13"/>
        </w:rPr>
        <w:t xml:space="preserve">  S9 -. "state feeds next run" .-&gt; S2</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classDef stage fill:#F4F6FA,stroke:#22304A,color:#101828;</w:t>
      </w:r>
    </w:p>
    <w:p>
      <w:pPr>
        <w:shd w:val="clear" w:fill="F8F9FC"/>
        <w:spacing w:after="0" w:before="0"/>
        <w:ind w:left="227"/>
      </w:pPr>
      <w:r>
        <w:rPr>
          <w:rFonts w:ascii="Consolas" w:hAnsi="Consolas"/>
          <w:color w:val="101828"/>
          <w:sz w:val="13"/>
        </w:rPr>
        <w:t xml:space="preserve">  classDef aiStage fill:#FDE7F0,stroke:#BE185D,color:#4A0D28;</w:t>
      </w:r>
    </w:p>
    <w:p>
      <w:pPr>
        <w:shd w:val="clear" w:fill="F8F9FC"/>
        <w:spacing w:after="0" w:before="0"/>
        <w:ind w:left="227"/>
      </w:pPr>
      <w:r>
        <w:rPr>
          <w:rFonts w:ascii="Consolas" w:hAnsi="Consolas"/>
          <w:color w:val="101828"/>
          <w:sz w:val="13"/>
        </w:rPr>
        <w:t xml:space="preserve">  classDef human fill:#F1E8FD,stroke:#6D28D9,color:#2A1052;</w:t>
      </w:r>
    </w:p>
    <w:p>
      <w:pPr>
        <w:shd w:val="clear" w:fill="F8F9FC"/>
        <w:spacing w:after="0" w:before="0"/>
        <w:ind w:left="227"/>
      </w:pPr>
      <w:r>
        <w:rPr>
          <w:rFonts w:ascii="Consolas" w:hAnsi="Consolas"/>
          <w:color w:val="101828"/>
          <w:sz w:val="13"/>
        </w:rPr>
        <w:t xml:space="preserve">  classDef audit fill:#E7F6EC,stroke:#047857,color:#052E1C;</w:t>
      </w:r>
    </w:p>
    <w:p>
      <w:pPr>
        <w:shd w:val="clear" w:fill="F8F9FC"/>
        <w:spacing w:after="0" w:before="0"/>
        <w:ind w:left="227"/>
      </w:pPr>
      <w:r>
        <w:rPr>
          <w:rFonts w:ascii="Consolas" w:hAnsi="Consolas"/>
          <w:color w:val="101828"/>
          <w:sz w:val="13"/>
        </w:rPr>
        <w:t xml:space="preserve">  class S1,S2,S3 stage;</w:t>
      </w:r>
    </w:p>
    <w:p>
      <w:pPr>
        <w:shd w:val="clear" w:fill="F8F9FC"/>
        <w:spacing w:after="0" w:before="0"/>
        <w:ind w:left="227"/>
      </w:pPr>
      <w:r>
        <w:rPr>
          <w:rFonts w:ascii="Consolas" w:hAnsi="Consolas"/>
          <w:color w:val="101828"/>
          <w:sz w:val="13"/>
        </w:rPr>
        <w:t xml:space="preserve">  class S4,S5,S6 aiStage;</w:t>
      </w:r>
    </w:p>
    <w:p>
      <w:pPr>
        <w:shd w:val="clear" w:fill="F8F9FC"/>
        <w:spacing w:after="0" w:before="0"/>
        <w:ind w:left="227"/>
      </w:pPr>
      <w:r>
        <w:rPr>
          <w:rFonts w:ascii="Consolas" w:hAnsi="Consolas"/>
          <w:color w:val="101828"/>
          <w:sz w:val="13"/>
        </w:rPr>
        <w:t xml:space="preserve">  class S7 human;</w:t>
      </w:r>
    </w:p>
    <w:p>
      <w:pPr>
        <w:shd w:val="clear" w:fill="F8F9FC"/>
        <w:spacing w:after="0" w:before="0"/>
        <w:ind w:left="227"/>
      </w:pPr>
      <w:r>
        <w:rPr>
          <w:rFonts w:ascii="Consolas" w:hAnsi="Consolas"/>
          <w:color w:val="101828"/>
          <w:sz w:val="13"/>
        </w:rPr>
        <w:t xml:space="preserve">  class S8,S9 audit;</w:t>
      </w:r>
    </w:p>
    <w:p>
      <w:pPr>
        <w:spacing w:after="40"/>
      </w:pPr>
    </w:p>
    <w:p>
      <w:pPr>
        <w:pStyle w:val="Heading3"/>
        <w:keepNext/>
      </w:pPr>
      <w:r>
        <w:rPr>
          <w:b/>
          <w:color w:val="BE185D"/>
        </w:rPr>
        <w:t>Figure 3 — Human-in-the-loop enforcement</w:t>
      </w:r>
    </w:p>
    <w:p>
      <w:pPr>
        <w:shd w:val="clear" w:fill="F8F9FC"/>
        <w:spacing w:after="0" w:before="0"/>
        <w:ind w:left="227"/>
      </w:pPr>
      <w:r>
        <w:rPr>
          <w:rFonts w:ascii="Consolas" w:hAnsi="Consolas"/>
          <w:color w:val="101828"/>
          <w:sz w:val="13"/>
        </w:rPr>
        <w:t>%%{init: {"theme": "base", "themeVariables": {</w:t>
      </w:r>
    </w:p>
    <w:p>
      <w:pPr>
        <w:shd w:val="clear" w:fill="F8F9FC"/>
        <w:spacing w:after="0" w:before="0"/>
        <w:ind w:left="227"/>
      </w:pPr>
      <w:r>
        <w:rPr>
          <w:rFonts w:ascii="Consolas" w:hAnsi="Consolas"/>
          <w:color w:val="101828"/>
          <w:sz w:val="13"/>
        </w:rPr>
        <w:t xml:space="preserve">  "fontFamily": "Segoe UI, Arial, sans-serif",</w:t>
      </w:r>
    </w:p>
    <w:p>
      <w:pPr>
        <w:shd w:val="clear" w:fill="F8F9FC"/>
        <w:spacing w:after="0" w:before="0"/>
        <w:ind w:left="227"/>
      </w:pPr>
      <w:r>
        <w:rPr>
          <w:rFonts w:ascii="Consolas" w:hAnsi="Consolas"/>
          <w:color w:val="101828"/>
          <w:sz w:val="13"/>
        </w:rPr>
        <w:t xml:space="preserve">  "fontSize": "15px",</w:t>
      </w:r>
    </w:p>
    <w:p>
      <w:pPr>
        <w:shd w:val="clear" w:fill="F8F9FC"/>
        <w:spacing w:after="0" w:before="0"/>
        <w:ind w:left="227"/>
      </w:pPr>
      <w:r>
        <w:rPr>
          <w:rFonts w:ascii="Consolas" w:hAnsi="Consolas"/>
          <w:color w:val="101828"/>
          <w:sz w:val="13"/>
        </w:rPr>
        <w:t xml:space="preserve">  "primaryColor": "#F4F6FA",</w:t>
      </w:r>
    </w:p>
    <w:p>
      <w:pPr>
        <w:shd w:val="clear" w:fill="F8F9FC"/>
        <w:spacing w:after="0" w:before="0"/>
        <w:ind w:left="227"/>
      </w:pPr>
      <w:r>
        <w:rPr>
          <w:rFonts w:ascii="Consolas" w:hAnsi="Consolas"/>
          <w:color w:val="101828"/>
          <w:sz w:val="13"/>
        </w:rPr>
        <w:t xml:space="preserve">  "primaryBorderColor": "#22304A",</w:t>
      </w:r>
    </w:p>
    <w:p>
      <w:pPr>
        <w:shd w:val="clear" w:fill="F8F9FC"/>
        <w:spacing w:after="0" w:before="0"/>
        <w:ind w:left="227"/>
      </w:pPr>
      <w:r>
        <w:rPr>
          <w:rFonts w:ascii="Consolas" w:hAnsi="Consolas"/>
          <w:color w:val="101828"/>
          <w:sz w:val="13"/>
        </w:rPr>
        <w:t xml:space="preserve">  "primaryTextColor": "#101828",</w:t>
      </w:r>
    </w:p>
    <w:p>
      <w:pPr>
        <w:shd w:val="clear" w:fill="F8F9FC"/>
        <w:spacing w:after="0" w:before="0"/>
        <w:ind w:left="227"/>
      </w:pPr>
      <w:r>
        <w:rPr>
          <w:rFonts w:ascii="Consolas" w:hAnsi="Consolas"/>
          <w:color w:val="101828"/>
          <w:sz w:val="13"/>
        </w:rPr>
        <w:t xml:space="preserve">  "lineColor": "#44506B",</w:t>
      </w:r>
    </w:p>
    <w:p>
      <w:pPr>
        <w:shd w:val="clear" w:fill="F8F9FC"/>
        <w:spacing w:after="0" w:before="0"/>
        <w:ind w:left="227"/>
      </w:pPr>
      <w:r>
        <w:rPr>
          <w:rFonts w:ascii="Consolas" w:hAnsi="Consolas"/>
          <w:color w:val="101828"/>
          <w:sz w:val="13"/>
        </w:rPr>
        <w:t xml:space="preserve">  "clusterBkg": "#FFFFFF",</w:t>
      </w:r>
    </w:p>
    <w:p>
      <w:pPr>
        <w:shd w:val="clear" w:fill="F8F9FC"/>
        <w:spacing w:after="0" w:before="0"/>
        <w:ind w:left="227"/>
      </w:pPr>
      <w:r>
        <w:rPr>
          <w:rFonts w:ascii="Consolas" w:hAnsi="Consolas"/>
          <w:color w:val="101828"/>
          <w:sz w:val="13"/>
        </w:rPr>
        <w:t xml:space="preserve">  "clusterBorder": "#9AA4B8"</w:t>
      </w:r>
    </w:p>
    <w:p>
      <w:pPr>
        <w:shd w:val="clear" w:fill="F8F9FC"/>
        <w:spacing w:after="0" w:before="0"/>
        <w:ind w:left="227"/>
      </w:pPr>
      <w:r>
        <w:rPr>
          <w:rFonts w:ascii="Consolas" w:hAnsi="Consolas"/>
          <w:color w:val="101828"/>
          <w:sz w:val="13"/>
        </w:rPr>
        <w:t>}}}%%</w:t>
      </w:r>
    </w:p>
    <w:p>
      <w:pPr>
        <w:shd w:val="clear" w:fill="F8F9FC"/>
        <w:spacing w:after="0" w:before="0"/>
        <w:ind w:left="227"/>
      </w:pPr>
      <w:r>
        <w:rPr>
          <w:rFonts w:ascii="Consolas" w:hAnsi="Consolas"/>
          <w:color w:val="101828"/>
          <w:sz w:val="13"/>
        </w:rPr>
        <w:t>flowchart LR</w:t>
      </w:r>
    </w:p>
    <w:p>
      <w:pPr>
        <w:shd w:val="clear" w:fill="F8F9FC"/>
        <w:spacing w:after="0" w:before="0"/>
        <w:ind w:left="227"/>
      </w:pPr>
      <w:r>
        <w:rPr>
          <w:rFonts w:ascii="Consolas" w:hAnsi="Consolas"/>
          <w:color w:val="101828"/>
          <w:sz w:val="13"/>
        </w:rPr>
        <w:t xml:space="preserve">  subgraph AIZONE["AI PROPOSES — decision support only"]</w:t>
      </w:r>
    </w:p>
    <w:p>
      <w:pPr>
        <w:shd w:val="clear" w:fill="F8F9FC"/>
        <w:spacing w:after="0" w:before="0"/>
        <w:ind w:left="227"/>
      </w:pPr>
      <w:r>
        <w:rPr>
          <w:rFonts w:ascii="Consolas" w:hAnsi="Consolas"/>
          <w:color w:val="101828"/>
          <w:sz w:val="13"/>
        </w:rPr>
        <w:t xml:space="preserve">    A1["Screen &amp;amp; match&lt;br/&gt;&lt;i&gt;every hit carries its&lt;br/&gt;source evidence&lt;/i&gt;"]</w:t>
      </w:r>
    </w:p>
    <w:p>
      <w:pPr>
        <w:shd w:val="clear" w:fill="F8F9FC"/>
        <w:spacing w:after="0" w:before="0"/>
        <w:ind w:left="227"/>
      </w:pPr>
      <w:r>
        <w:rPr>
          <w:rFonts w:ascii="Consolas" w:hAnsi="Consolas"/>
          <w:color w:val="101828"/>
          <w:sz w:val="13"/>
        </w:rPr>
        <w:t xml:space="preserve">    A2["Rate &amp;amp; triage&lt;br/&gt;&lt;i&gt;explainable factors,&lt;br/&gt;labelled AI outputs&lt;/i&gt;"]</w:t>
      </w:r>
    </w:p>
    <w:p>
      <w:pPr>
        <w:shd w:val="clear" w:fill="F8F9FC"/>
        <w:spacing w:after="0" w:before="0"/>
        <w:ind w:left="227"/>
      </w:pPr>
      <w:r>
        <w:rPr>
          <w:rFonts w:ascii="Consolas" w:hAnsi="Consolas"/>
          <w:color w:val="101828"/>
          <w:sz w:val="13"/>
        </w:rPr>
        <w:t xml:space="preserve">    A3["Draft &amp;amp; summarise&lt;br/&gt;&lt;i&gt;STR draft, alert notes,&lt;br/&gt;review digests&lt;/i&gt;"]</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GATE["GOVERNANCE GATE — deterministic"]</w:t>
      </w:r>
    </w:p>
    <w:p>
      <w:pPr>
        <w:shd w:val="clear" w:fill="F8F9FC"/>
        <w:spacing w:after="0" w:before="0"/>
        <w:ind w:left="227"/>
      </w:pPr>
      <w:r>
        <w:rPr>
          <w:rFonts w:ascii="Consolas" w:hAnsi="Consolas"/>
          <w:color w:val="101828"/>
          <w:sz w:val="13"/>
        </w:rPr>
        <w:t xml:space="preserve">    Q["QA gate: source on every finding ·&lt;br/&gt;no injected item reaches the model ·&lt;br/&gt;degrade-loudly verified"]</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HUMANZONE["HUMAN DECIDES — accountable officer"]</w:t>
      </w:r>
    </w:p>
    <w:p>
      <w:pPr>
        <w:shd w:val="clear" w:fill="F8F9FC"/>
        <w:spacing w:after="0" w:before="0"/>
        <w:ind w:left="227"/>
      </w:pPr>
      <w:r>
        <w:rPr>
          <w:rFonts w:ascii="Consolas" w:hAnsi="Consolas"/>
          <w:color w:val="101828"/>
          <w:sz w:val="13"/>
        </w:rPr>
        <w:t xml:space="preserve">    H1{{"MLRO reviews case subtask&lt;br/&gt;sets disposition"}}</w:t>
      </w:r>
    </w:p>
    <w:p>
      <w:pPr>
        <w:shd w:val="clear" w:fill="F8F9FC"/>
        <w:spacing w:after="0" w:before="0"/>
        <w:ind w:left="227"/>
      </w:pPr>
      <w:r>
        <w:rPr>
          <w:rFonts w:ascii="Consolas" w:hAnsi="Consolas"/>
          <w:color w:val="101828"/>
          <w:sz w:val="13"/>
        </w:rPr>
        <w:t xml:space="preserve">    H2{{"Four-eyes / dual attestation&lt;br/&gt;on operative actions"}}</w:t>
      </w:r>
    </w:p>
    <w:p>
      <w:pPr>
        <w:shd w:val="clear" w:fill="F8F9FC"/>
        <w:spacing w:after="0" w:before="0"/>
        <w:ind w:left="227"/>
      </w:pPr>
      <w:r>
        <w:rPr>
          <w:rFonts w:ascii="Consolas" w:hAnsi="Consolas"/>
          <w:color w:val="101828"/>
          <w:sz w:val="13"/>
        </w:rPr>
        <w:t xml:space="preserve">    H3{{"Files STR via goAML ·&lt;br/&gt;applies TFS freeze ·&lt;br/&gt;onboards or declines"}}</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AUDITZONE["EVERYTHING RECORDED"]</w:t>
      </w:r>
    </w:p>
    <w:p>
      <w:pPr>
        <w:shd w:val="clear" w:fill="F8F9FC"/>
        <w:spacing w:after="0" w:before="0"/>
        <w:ind w:left="227"/>
      </w:pPr>
      <w:r>
        <w:rPr>
          <w:rFonts w:ascii="Consolas" w:hAnsi="Consolas"/>
          <w:color w:val="101828"/>
          <w:sz w:val="13"/>
        </w:rPr>
        <w:t xml:space="preserve">    R["Agent action audit trail · audit lines&lt;br/&gt;hash-chained activity log · Asana + Actions&lt;br/&gt;retained 10 years"]</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A1 --&gt; A2 --&gt; A3 --&gt; Q --&gt; H1 --&gt; H2 --&gt; H3</w:t>
      </w:r>
    </w:p>
    <w:p>
      <w:pPr>
        <w:shd w:val="clear" w:fill="F8F9FC"/>
        <w:spacing w:after="0" w:before="0"/>
        <w:ind w:left="227"/>
      </w:pPr>
      <w:r>
        <w:rPr>
          <w:rFonts w:ascii="Consolas" w:hAnsi="Consolas"/>
          <w:color w:val="101828"/>
          <w:sz w:val="13"/>
        </w:rPr>
        <w:t xml:space="preserve">  A1 -.-&gt; R</w:t>
      </w:r>
    </w:p>
    <w:p>
      <w:pPr>
        <w:shd w:val="clear" w:fill="F8F9FC"/>
        <w:spacing w:after="0" w:before="0"/>
        <w:ind w:left="227"/>
      </w:pPr>
      <w:r>
        <w:rPr>
          <w:rFonts w:ascii="Consolas" w:hAnsi="Consolas"/>
          <w:color w:val="101828"/>
          <w:sz w:val="13"/>
        </w:rPr>
        <w:t xml:space="preserve">  A2 -.-&gt; R</w:t>
      </w:r>
    </w:p>
    <w:p>
      <w:pPr>
        <w:shd w:val="clear" w:fill="F8F9FC"/>
        <w:spacing w:after="0" w:before="0"/>
        <w:ind w:left="227"/>
      </w:pPr>
      <w:r>
        <w:rPr>
          <w:rFonts w:ascii="Consolas" w:hAnsi="Consolas"/>
          <w:color w:val="101828"/>
          <w:sz w:val="13"/>
        </w:rPr>
        <w:t xml:space="preserve">  A3 -.-&gt; R</w:t>
      </w:r>
    </w:p>
    <w:p>
      <w:pPr>
        <w:shd w:val="clear" w:fill="F8F9FC"/>
        <w:spacing w:after="0" w:before="0"/>
        <w:ind w:left="227"/>
      </w:pPr>
      <w:r>
        <w:rPr>
          <w:rFonts w:ascii="Consolas" w:hAnsi="Consolas"/>
          <w:color w:val="101828"/>
          <w:sz w:val="13"/>
        </w:rPr>
        <w:t xml:space="preserve">  Q -.-&gt; R</w:t>
      </w:r>
    </w:p>
    <w:p>
      <w:pPr>
        <w:shd w:val="clear" w:fill="F8F9FC"/>
        <w:spacing w:after="0" w:before="0"/>
        <w:ind w:left="227"/>
      </w:pPr>
      <w:r>
        <w:rPr>
          <w:rFonts w:ascii="Consolas" w:hAnsi="Consolas"/>
          <w:color w:val="101828"/>
          <w:sz w:val="13"/>
        </w:rPr>
        <w:t xml:space="preserve">  H1 -.-&gt; R</w:t>
      </w:r>
    </w:p>
    <w:p>
      <w:pPr>
        <w:shd w:val="clear" w:fill="F8F9FC"/>
        <w:spacing w:after="0" w:before="0"/>
        <w:ind w:left="227"/>
      </w:pPr>
      <w:r>
        <w:rPr>
          <w:rFonts w:ascii="Consolas" w:hAnsi="Consolas"/>
          <w:color w:val="101828"/>
          <w:sz w:val="13"/>
        </w:rPr>
        <w:t xml:space="preserve">  H3 -.-&gt; R</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classDef ai fill:#FDE7F0,stroke:#BE185D,color:#4A0D28;</w:t>
      </w:r>
    </w:p>
    <w:p>
      <w:pPr>
        <w:shd w:val="clear" w:fill="F8F9FC"/>
        <w:spacing w:after="0" w:before="0"/>
        <w:ind w:left="227"/>
      </w:pPr>
      <w:r>
        <w:rPr>
          <w:rFonts w:ascii="Consolas" w:hAnsi="Consolas"/>
          <w:color w:val="101828"/>
          <w:sz w:val="13"/>
        </w:rPr>
        <w:t xml:space="preserve">  classDef gate fill:#FFF4E0,stroke:#B45309,color:#4A2A05;</w:t>
      </w:r>
    </w:p>
    <w:p>
      <w:pPr>
        <w:shd w:val="clear" w:fill="F8F9FC"/>
        <w:spacing w:after="0" w:before="0"/>
        <w:ind w:left="227"/>
      </w:pPr>
      <w:r>
        <w:rPr>
          <w:rFonts w:ascii="Consolas" w:hAnsi="Consolas"/>
          <w:color w:val="101828"/>
          <w:sz w:val="13"/>
        </w:rPr>
        <w:t xml:space="preserve">  classDef human fill:#F1E8FD,stroke:#6D28D9,color:#2A1052;</w:t>
      </w:r>
    </w:p>
    <w:p>
      <w:pPr>
        <w:shd w:val="clear" w:fill="F8F9FC"/>
        <w:spacing w:after="0" w:before="0"/>
        <w:ind w:left="227"/>
      </w:pPr>
      <w:r>
        <w:rPr>
          <w:rFonts w:ascii="Consolas" w:hAnsi="Consolas"/>
          <w:color w:val="101828"/>
          <w:sz w:val="13"/>
        </w:rPr>
        <w:t xml:space="preserve">  classDef audit fill:#E7F6EC,stroke:#047857,color:#052E1C;</w:t>
      </w:r>
    </w:p>
    <w:p>
      <w:pPr>
        <w:shd w:val="clear" w:fill="F8F9FC"/>
        <w:spacing w:after="0" w:before="0"/>
        <w:ind w:left="227"/>
      </w:pPr>
      <w:r>
        <w:rPr>
          <w:rFonts w:ascii="Consolas" w:hAnsi="Consolas"/>
          <w:color w:val="101828"/>
          <w:sz w:val="13"/>
        </w:rPr>
        <w:t xml:space="preserve">  class A1,A2,A3 ai;</w:t>
      </w:r>
    </w:p>
    <w:p>
      <w:pPr>
        <w:shd w:val="clear" w:fill="F8F9FC"/>
        <w:spacing w:after="0" w:before="0"/>
        <w:ind w:left="227"/>
      </w:pPr>
      <w:r>
        <w:rPr>
          <w:rFonts w:ascii="Consolas" w:hAnsi="Consolas"/>
          <w:color w:val="101828"/>
          <w:sz w:val="13"/>
        </w:rPr>
        <w:t xml:space="preserve">  class Q gate;</w:t>
      </w:r>
    </w:p>
    <w:p>
      <w:pPr>
        <w:shd w:val="clear" w:fill="F8F9FC"/>
        <w:spacing w:after="0" w:before="0"/>
        <w:ind w:left="227"/>
      </w:pPr>
      <w:r>
        <w:rPr>
          <w:rFonts w:ascii="Consolas" w:hAnsi="Consolas"/>
          <w:color w:val="101828"/>
          <w:sz w:val="13"/>
        </w:rPr>
        <w:t xml:space="preserve">  class H1,H2,H3 human;</w:t>
      </w:r>
    </w:p>
    <w:p>
      <w:pPr>
        <w:shd w:val="clear" w:fill="F8F9FC"/>
        <w:spacing w:after="0" w:before="0"/>
        <w:ind w:left="227"/>
      </w:pPr>
      <w:r>
        <w:rPr>
          <w:rFonts w:ascii="Consolas" w:hAnsi="Consolas"/>
          <w:color w:val="101828"/>
          <w:sz w:val="13"/>
        </w:rPr>
        <w:t xml:space="preserve">  class R audit;</w:t>
      </w:r>
    </w:p>
    <w:p>
      <w:pPr>
        <w:spacing w:after="40"/>
      </w:pPr>
    </w:p>
    <w:p>
      <w:pPr>
        <w:pStyle w:val="Heading3"/>
        <w:keepNext/>
      </w:pPr>
      <w:r>
        <w:rPr>
          <w:b/>
          <w:color w:val="BE185D"/>
        </w:rPr>
        <w:t>Figure 4 — Technical architecture</w:t>
      </w:r>
    </w:p>
    <w:p>
      <w:pPr>
        <w:shd w:val="clear" w:fill="F8F9FC"/>
        <w:spacing w:after="0" w:before="0"/>
        <w:ind w:left="227"/>
      </w:pPr>
      <w:r>
        <w:rPr>
          <w:rFonts w:ascii="Consolas" w:hAnsi="Consolas"/>
          <w:color w:val="101828"/>
          <w:sz w:val="13"/>
        </w:rPr>
        <w:t>%%{init: {"theme": "base", "themeVariables": {</w:t>
      </w:r>
    </w:p>
    <w:p>
      <w:pPr>
        <w:shd w:val="clear" w:fill="F8F9FC"/>
        <w:spacing w:after="0" w:before="0"/>
        <w:ind w:left="227"/>
      </w:pPr>
      <w:r>
        <w:rPr>
          <w:rFonts w:ascii="Consolas" w:hAnsi="Consolas"/>
          <w:color w:val="101828"/>
          <w:sz w:val="13"/>
        </w:rPr>
        <w:t xml:space="preserve">  "fontFamily": "Segoe UI, Arial, sans-serif",</w:t>
      </w:r>
    </w:p>
    <w:p>
      <w:pPr>
        <w:shd w:val="clear" w:fill="F8F9FC"/>
        <w:spacing w:after="0" w:before="0"/>
        <w:ind w:left="227"/>
      </w:pPr>
      <w:r>
        <w:rPr>
          <w:rFonts w:ascii="Consolas" w:hAnsi="Consolas"/>
          <w:color w:val="101828"/>
          <w:sz w:val="13"/>
        </w:rPr>
        <w:t xml:space="preserve">  "fontSize": "14px",</w:t>
      </w:r>
    </w:p>
    <w:p>
      <w:pPr>
        <w:shd w:val="clear" w:fill="F8F9FC"/>
        <w:spacing w:after="0" w:before="0"/>
        <w:ind w:left="227"/>
      </w:pPr>
      <w:r>
        <w:rPr>
          <w:rFonts w:ascii="Consolas" w:hAnsi="Consolas"/>
          <w:color w:val="101828"/>
          <w:sz w:val="13"/>
        </w:rPr>
        <w:t xml:space="preserve">  "primaryColor": "#F4F6FA",</w:t>
      </w:r>
    </w:p>
    <w:p>
      <w:pPr>
        <w:shd w:val="clear" w:fill="F8F9FC"/>
        <w:spacing w:after="0" w:before="0"/>
        <w:ind w:left="227"/>
      </w:pPr>
      <w:r>
        <w:rPr>
          <w:rFonts w:ascii="Consolas" w:hAnsi="Consolas"/>
          <w:color w:val="101828"/>
          <w:sz w:val="13"/>
        </w:rPr>
        <w:t xml:space="preserve">  "primaryBorderColor": "#22304A",</w:t>
      </w:r>
    </w:p>
    <w:p>
      <w:pPr>
        <w:shd w:val="clear" w:fill="F8F9FC"/>
        <w:spacing w:after="0" w:before="0"/>
        <w:ind w:left="227"/>
      </w:pPr>
      <w:r>
        <w:rPr>
          <w:rFonts w:ascii="Consolas" w:hAnsi="Consolas"/>
          <w:color w:val="101828"/>
          <w:sz w:val="13"/>
        </w:rPr>
        <w:t xml:space="preserve">  "primaryTextColor": "#101828",</w:t>
      </w:r>
    </w:p>
    <w:p>
      <w:pPr>
        <w:shd w:val="clear" w:fill="F8F9FC"/>
        <w:spacing w:after="0" w:before="0"/>
        <w:ind w:left="227"/>
      </w:pPr>
      <w:r>
        <w:rPr>
          <w:rFonts w:ascii="Consolas" w:hAnsi="Consolas"/>
          <w:color w:val="101828"/>
          <w:sz w:val="13"/>
        </w:rPr>
        <w:t xml:space="preserve">  "lineColor": "#44506B",</w:t>
      </w:r>
    </w:p>
    <w:p>
      <w:pPr>
        <w:shd w:val="clear" w:fill="F8F9FC"/>
        <w:spacing w:after="0" w:before="0"/>
        <w:ind w:left="227"/>
      </w:pPr>
      <w:r>
        <w:rPr>
          <w:rFonts w:ascii="Consolas" w:hAnsi="Consolas"/>
          <w:color w:val="101828"/>
          <w:sz w:val="13"/>
        </w:rPr>
        <w:t xml:space="preserve">  "clusterBkg": "#FFFFFF",</w:t>
      </w:r>
    </w:p>
    <w:p>
      <w:pPr>
        <w:shd w:val="clear" w:fill="F8F9FC"/>
        <w:spacing w:after="0" w:before="0"/>
        <w:ind w:left="227"/>
      </w:pPr>
      <w:r>
        <w:rPr>
          <w:rFonts w:ascii="Consolas" w:hAnsi="Consolas"/>
          <w:color w:val="101828"/>
          <w:sz w:val="13"/>
        </w:rPr>
        <w:t xml:space="preserve">  "clusterBorder": "#9AA4B8"</w:t>
      </w:r>
    </w:p>
    <w:p>
      <w:pPr>
        <w:shd w:val="clear" w:fill="F8F9FC"/>
        <w:spacing w:after="0" w:before="0"/>
        <w:ind w:left="227"/>
      </w:pPr>
      <w:r>
        <w:rPr>
          <w:rFonts w:ascii="Consolas" w:hAnsi="Consolas"/>
          <w:color w:val="101828"/>
          <w:sz w:val="13"/>
        </w:rPr>
        <w:t>}}}%%</w:t>
      </w:r>
    </w:p>
    <w:p>
      <w:pPr>
        <w:shd w:val="clear" w:fill="F8F9FC"/>
        <w:spacing w:after="0" w:before="0"/>
        <w:ind w:left="227"/>
      </w:pPr>
      <w:r>
        <w:rPr>
          <w:rFonts w:ascii="Consolas" w:hAnsi="Consolas"/>
          <w:color w:val="101828"/>
          <w:sz w:val="13"/>
        </w:rPr>
        <w:t>flowchart TB</w:t>
      </w:r>
    </w:p>
    <w:p>
      <w:pPr>
        <w:shd w:val="clear" w:fill="F8F9FC"/>
        <w:spacing w:after="0" w:before="0"/>
        <w:ind w:left="227"/>
      </w:pPr>
      <w:r>
        <w:rPr>
          <w:rFonts w:ascii="Consolas" w:hAnsi="Consolas"/>
          <w:color w:val="101828"/>
          <w:sz w:val="13"/>
        </w:rPr>
        <w:t xml:space="preserve">  subgraph BROWSER["USER DEVICE — browser (all assessment data stays here)"]</w:t>
      </w:r>
    </w:p>
    <w:p>
      <w:pPr>
        <w:shd w:val="clear" w:fill="F8F9FC"/>
        <w:spacing w:after="0" w:before="0"/>
        <w:ind w:left="227"/>
      </w:pPr>
      <w:r>
        <w:rPr>
          <w:rFonts w:ascii="Consolas" w:hAnsi="Consolas"/>
          <w:color w:val="101828"/>
          <w:sz w:val="13"/>
        </w:rPr>
        <w:t xml:space="preserve">    UI["3-page suite&lt;br/&gt;index · console · advisor"]</w:t>
      </w:r>
    </w:p>
    <w:p>
      <w:pPr>
        <w:shd w:val="clear" w:fill="F8F9FC"/>
        <w:spacing w:after="0" w:before="0"/>
        <w:ind w:left="227"/>
      </w:pPr>
      <w:r>
        <w:rPr>
          <w:rFonts w:ascii="Consolas" w:hAnsi="Consolas"/>
          <w:color w:val="101828"/>
          <w:sz w:val="13"/>
        </w:rPr>
        <w:t xml:space="preserve">    ENGINE["Deterministic risk engine&lt;br/&gt;0–30 score · hard outcomes"]</w:t>
      </w:r>
    </w:p>
    <w:p>
      <w:pPr>
        <w:shd w:val="clear" w:fill="F8F9FC"/>
        <w:spacing w:after="0" w:before="0"/>
        <w:ind w:left="227"/>
      </w:pPr>
      <w:r>
        <w:rPr>
          <w:rFonts w:ascii="Consolas" w:hAnsi="Consolas"/>
          <w:color w:val="101828"/>
          <w:sz w:val="13"/>
        </w:rPr>
        <w:t xml:space="preserve">    STORE[("Encrypted localStorage&lt;br/&gt;AES-256-GCM · PBKDF2&lt;br/&gt;idle auto-lock")]</w:t>
      </w:r>
    </w:p>
    <w:p>
      <w:pPr>
        <w:shd w:val="clear" w:fill="F8F9FC"/>
        <w:spacing w:after="0" w:before="0"/>
        <w:ind w:left="227"/>
      </w:pPr>
      <w:r>
        <w:rPr>
          <w:rFonts w:ascii="Consolas" w:hAnsi="Consolas"/>
          <w:color w:val="101828"/>
          <w:sz w:val="13"/>
        </w:rPr>
        <w:t xml:space="preserve">    LOG["Hash-chained activity log&lt;br/&gt;SHA-256 · tamper-evident"]</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NETLIFY["NETLIFY EDGE + FUNCTIONS — pure-self CSP · HSTS · rate limits · X-App-Token"]</w:t>
      </w:r>
    </w:p>
    <w:p>
      <w:pPr>
        <w:shd w:val="clear" w:fill="F8F9FC"/>
        <w:spacing w:after="0" w:before="0"/>
        <w:ind w:left="227"/>
      </w:pPr>
      <w:r>
        <w:rPr>
          <w:rFonts w:ascii="Consolas" w:hAnsi="Consolas"/>
          <w:color w:val="101828"/>
          <w:sz w:val="13"/>
        </w:rPr>
        <w:t xml:space="preserve">    FN1["asana-task / asana-mirror /&lt;br/&gt;risk-backup relays"]</w:t>
      </w:r>
    </w:p>
    <w:p>
      <w:pPr>
        <w:shd w:val="clear" w:fill="F8F9FC"/>
        <w:spacing w:after="0" w:before="0"/>
        <w:ind w:left="227"/>
      </w:pPr>
      <w:r>
        <w:rPr>
          <w:rFonts w:ascii="Consolas" w:hAnsi="Consolas"/>
          <w:color w:val="101828"/>
          <w:sz w:val="13"/>
        </w:rPr>
        <w:t xml:space="preserve">    FN2["brain-soul.js&lt;br/&gt;LLM Advisor core + 7 guards"]</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GHA["GITHUB ACTIONS — 47 scheduled/CI workflows"]</w:t>
      </w:r>
    </w:p>
    <w:p>
      <w:pPr>
        <w:shd w:val="clear" w:fill="F8F9FC"/>
        <w:spacing w:after="0" w:before="0"/>
        <w:ind w:left="227"/>
      </w:pPr>
      <w:r>
        <w:rPr>
          <w:rFonts w:ascii="Consolas" w:hAnsi="Consolas"/>
          <w:color w:val="101828"/>
          <w:sz w:val="13"/>
        </w:rPr>
        <w:t xml:space="preserve">    UNIFIED["Daily unified screen&lt;br/&gt;screen.py + ai.py + agents.py"]</w:t>
      </w:r>
    </w:p>
    <w:p>
      <w:pPr>
        <w:shd w:val="clear" w:fill="F8F9FC"/>
        <w:spacing w:after="0" w:before="0"/>
        <w:ind w:left="227"/>
      </w:pPr>
      <w:r>
        <w:rPr>
          <w:rFonts w:ascii="Consolas" w:hAnsi="Consolas"/>
          <w:color w:val="101828"/>
          <w:sz w:val="13"/>
        </w:rPr>
        <w:t xml:space="preserve">    WATCH["Watchdogs: FATF · sanctions lists ·&lt;br/&gt;regulatory sources · site health · freshness"]</w:t>
      </w:r>
    </w:p>
    <w:p>
      <w:pPr>
        <w:shd w:val="clear" w:fill="F8F9FC"/>
        <w:spacing w:after="0" w:before="0"/>
        <w:ind w:left="227"/>
      </w:pPr>
      <w:r>
        <w:rPr>
          <w:rFonts w:ascii="Consolas" w:hAnsi="Consolas"/>
          <w:color w:val="101828"/>
          <w:sz w:val="13"/>
        </w:rPr>
        <w:t xml:space="preserve">    CIQ["CI quality gates: 63 test files ·&lt;br/&gt;CodeQL · Semgrep · gitleaks · SBOM"]</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subgraph EXTDATA["EXTERNAL DATA SOURCES (fetched, treated as untrusted)"]</w:t>
      </w:r>
    </w:p>
    <w:p>
      <w:pPr>
        <w:shd w:val="clear" w:fill="F8F9FC"/>
        <w:spacing w:after="0" w:before="0"/>
        <w:ind w:left="227"/>
      </w:pPr>
      <w:r>
        <w:rPr>
          <w:rFonts w:ascii="Consolas" w:hAnsi="Consolas"/>
          <w:color w:val="101828"/>
          <w:sz w:val="13"/>
        </w:rPr>
        <w:t xml:space="preserve">    LISTS[("Sanctions lists&lt;br/&gt;OFAC · UN · EU · OFSI ·&lt;br/&gt;UAE EOCN · SEMA")]</w:t>
      </w:r>
    </w:p>
    <w:p>
      <w:pPr>
        <w:shd w:val="clear" w:fill="F8F9FC"/>
        <w:spacing w:after="0" w:before="0"/>
        <w:ind w:left="227"/>
      </w:pPr>
      <w:r>
        <w:rPr>
          <w:rFonts w:ascii="Consolas" w:hAnsi="Consolas"/>
          <w:color w:val="101828"/>
          <w:sz w:val="13"/>
        </w:rPr>
        <w:t xml:space="preserve">    MEDIA[("Adverse media&lt;br/&gt;Google News · GDELT ·&lt;br/&gt;OpenSanctions")]</w:t>
      </w:r>
    </w:p>
    <w:p>
      <w:pPr>
        <w:shd w:val="clear" w:fill="F8F9FC"/>
        <w:spacing w:after="0" w:before="0"/>
        <w:ind w:left="227"/>
      </w:pPr>
      <w:r>
        <w:rPr>
          <w:rFonts w:ascii="Consolas" w:hAnsi="Consolas"/>
          <w:color w:val="101828"/>
          <w:sz w:val="13"/>
        </w:rPr>
        <w:t xml:space="preserve">    WIKI[("PEP reference&lt;br/&gt;Wikidata + mirror")]</w:t>
      </w:r>
    </w:p>
    <w:p>
      <w:pPr>
        <w:shd w:val="clear" w:fill="F8F9FC"/>
        <w:spacing w:after="0" w:before="0"/>
        <w:ind w:left="227"/>
      </w:pPr>
      <w:r>
        <w:rPr>
          <w:rFonts w:ascii="Consolas" w:hAnsi="Consolas"/>
          <w:color w:val="101828"/>
          <w:sz w:val="13"/>
        </w:rPr>
        <w:t xml:space="preserve">  end</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ANTHROPIC(["Anthropic Claude API&lt;br/&gt;opt-in per surface · key-gated"])</w:t>
      </w:r>
    </w:p>
    <w:p>
      <w:pPr>
        <w:shd w:val="clear" w:fill="F8F9FC"/>
        <w:spacing w:after="0" w:before="0"/>
        <w:ind w:left="227"/>
      </w:pPr>
      <w:r>
        <w:rPr>
          <w:rFonts w:ascii="Consolas" w:hAnsi="Consolas"/>
          <w:color w:val="101828"/>
          <w:sz w:val="13"/>
        </w:rPr>
        <w:t xml:space="preserve">  ASANA[["Asana workspace&lt;br/&gt;cases · registers · alerts&lt;br/&gt;MLRO subtasks"]]</w:t>
      </w:r>
    </w:p>
    <w:p>
      <w:pPr>
        <w:shd w:val="clear" w:fill="F8F9FC"/>
        <w:spacing w:after="0" w:before="0"/>
        <w:ind w:left="227"/>
      </w:pPr>
      <w:r>
        <w:rPr>
          <w:rFonts w:ascii="Consolas" w:hAnsi="Consolas"/>
          <w:color w:val="101828"/>
          <w:sz w:val="13"/>
        </w:rPr>
        <w:t xml:space="preserve">  GOAML[["UAE FIU goAML&lt;br/&gt;STR filed by MLRO only"]]</w:t>
      </w:r>
    </w:p>
    <w:p>
      <w:pPr>
        <w:shd w:val="clear" w:fill="F8F9FC"/>
        <w:spacing w:after="0" w:before="0"/>
        <w:ind w:left="227"/>
      </w:pPr>
      <w:r>
        <w:rPr>
          <w:rFonts w:ascii="Consolas" w:hAnsi="Consolas"/>
          <w:color w:val="101828"/>
          <w:sz w:val="13"/>
        </w:rPr>
        <w:t xml:space="preserve">  MLRO{{"MLRO / Compliance team"}}</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UI --&gt; ENGINE --&gt; STORE</w:t>
      </w:r>
    </w:p>
    <w:p>
      <w:pPr>
        <w:shd w:val="clear" w:fill="F8F9FC"/>
        <w:spacing w:after="0" w:before="0"/>
        <w:ind w:left="227"/>
      </w:pPr>
      <w:r>
        <w:rPr>
          <w:rFonts w:ascii="Consolas" w:hAnsi="Consolas"/>
          <w:color w:val="101828"/>
          <w:sz w:val="13"/>
        </w:rPr>
        <w:t xml:space="preserve">  ENGINE --&gt; LOG</w:t>
      </w:r>
    </w:p>
    <w:p>
      <w:pPr>
        <w:shd w:val="clear" w:fill="F8F9FC"/>
        <w:spacing w:after="0" w:before="0"/>
        <w:ind w:left="227"/>
      </w:pPr>
      <w:r>
        <w:rPr>
          <w:rFonts w:ascii="Consolas" w:hAnsi="Consolas"/>
          <w:color w:val="101828"/>
          <w:sz w:val="13"/>
        </w:rPr>
        <w:t xml:space="preserve">  UI -- "complete assessment" --&gt; FN1 --&gt; ASANA</w:t>
      </w:r>
    </w:p>
    <w:p>
      <w:pPr>
        <w:shd w:val="clear" w:fill="F8F9FC"/>
        <w:spacing w:after="0" w:before="0"/>
        <w:ind w:left="227"/>
      </w:pPr>
      <w:r>
        <w:rPr>
          <w:rFonts w:ascii="Consolas" w:hAnsi="Consolas"/>
          <w:color w:val="101828"/>
          <w:sz w:val="13"/>
        </w:rPr>
        <w:t xml:space="preserve">  UI -- "advisor question" --&gt; FN2</w:t>
      </w:r>
    </w:p>
    <w:p>
      <w:pPr>
        <w:shd w:val="clear" w:fill="F8F9FC"/>
        <w:spacing w:after="0" w:before="0"/>
        <w:ind w:left="227"/>
      </w:pPr>
      <w:r>
        <w:rPr>
          <w:rFonts w:ascii="Consolas" w:hAnsi="Consolas"/>
          <w:color w:val="101828"/>
          <w:sz w:val="13"/>
        </w:rPr>
        <w:t xml:space="preserve">  FN2 -. "ADVISOR_ENABLED + key" .-&gt; ANTHROPIC</w:t>
      </w:r>
    </w:p>
    <w:p>
      <w:pPr>
        <w:shd w:val="clear" w:fill="F8F9FC"/>
        <w:spacing w:after="0" w:before="0"/>
        <w:ind w:left="227"/>
      </w:pPr>
      <w:r>
        <w:rPr>
          <w:rFonts w:ascii="Consolas" w:hAnsi="Consolas"/>
          <w:color w:val="101828"/>
          <w:sz w:val="13"/>
        </w:rPr>
        <w:t xml:space="preserve">  UNIFIED --&gt; LISTS</w:t>
      </w:r>
    </w:p>
    <w:p>
      <w:pPr>
        <w:shd w:val="clear" w:fill="F8F9FC"/>
        <w:spacing w:after="0" w:before="0"/>
        <w:ind w:left="227"/>
      </w:pPr>
      <w:r>
        <w:rPr>
          <w:rFonts w:ascii="Consolas" w:hAnsi="Consolas"/>
          <w:color w:val="101828"/>
          <w:sz w:val="13"/>
        </w:rPr>
        <w:t xml:space="preserve">  UNIFIED --&gt; MEDIA</w:t>
      </w:r>
    </w:p>
    <w:p>
      <w:pPr>
        <w:shd w:val="clear" w:fill="F8F9FC"/>
        <w:spacing w:after="0" w:before="0"/>
        <w:ind w:left="227"/>
      </w:pPr>
      <w:r>
        <w:rPr>
          <w:rFonts w:ascii="Consolas" w:hAnsi="Consolas"/>
          <w:color w:val="101828"/>
          <w:sz w:val="13"/>
        </w:rPr>
        <w:t xml:space="preserve">  UNIFIED --&gt; WIKI</w:t>
      </w:r>
    </w:p>
    <w:p>
      <w:pPr>
        <w:shd w:val="clear" w:fill="F8F9FC"/>
        <w:spacing w:after="0" w:before="0"/>
        <w:ind w:left="227"/>
      </w:pPr>
      <w:r>
        <w:rPr>
          <w:rFonts w:ascii="Consolas" w:hAnsi="Consolas"/>
          <w:color w:val="101828"/>
          <w:sz w:val="13"/>
        </w:rPr>
        <w:t xml:space="preserve">  UNIFIED -. "LLM_TRIAGE opt-in" .-&gt; ANTHROPIC</w:t>
      </w:r>
    </w:p>
    <w:p>
      <w:pPr>
        <w:shd w:val="clear" w:fill="F8F9FC"/>
        <w:spacing w:after="0" w:before="0"/>
        <w:ind w:left="227"/>
      </w:pPr>
      <w:r>
        <w:rPr>
          <w:rFonts w:ascii="Consolas" w:hAnsi="Consolas"/>
          <w:color w:val="101828"/>
          <w:sz w:val="13"/>
        </w:rPr>
        <w:t xml:space="preserve">  UNIFIED -- "daily MLRO report + case subtasks" --&gt; ASANA</w:t>
      </w:r>
    </w:p>
    <w:p>
      <w:pPr>
        <w:shd w:val="clear" w:fill="F8F9FC"/>
        <w:spacing w:after="0" w:before="0"/>
        <w:ind w:left="227"/>
      </w:pPr>
      <w:r>
        <w:rPr>
          <w:rFonts w:ascii="Consolas" w:hAnsi="Consolas"/>
          <w:color w:val="101828"/>
          <w:sz w:val="13"/>
        </w:rPr>
        <w:t xml:space="preserve">  WATCH --&gt; ASANA</w:t>
      </w:r>
    </w:p>
    <w:p>
      <w:pPr>
        <w:shd w:val="clear" w:fill="F8F9FC"/>
        <w:spacing w:after="0" w:before="0"/>
        <w:ind w:left="227"/>
      </w:pPr>
      <w:r>
        <w:rPr>
          <w:rFonts w:ascii="Consolas" w:hAnsi="Consolas"/>
          <w:color w:val="101828"/>
          <w:sz w:val="13"/>
        </w:rPr>
        <w:t xml:space="preserve">  ASANA --&gt; MLRO</w:t>
      </w:r>
    </w:p>
    <w:p>
      <w:pPr>
        <w:shd w:val="clear" w:fill="F8F9FC"/>
        <w:spacing w:after="0" w:before="0"/>
        <w:ind w:left="227"/>
      </w:pPr>
      <w:r>
        <w:rPr>
          <w:rFonts w:ascii="Consolas" w:hAnsi="Consolas"/>
          <w:color w:val="101828"/>
          <w:sz w:val="13"/>
        </w:rPr>
        <w:t xml:space="preserve">  MLRO --&gt; GOAML</w:t>
      </w:r>
    </w:p>
    <w:p>
      <w:pPr>
        <w:shd w:val="clear" w:fill="F8F9FC"/>
        <w:spacing w:after="0" w:before="0"/>
        <w:ind w:left="227"/>
      </w:pPr>
      <w:r>
        <w:rPr>
          <w:rFonts w:ascii="Consolas" w:hAnsi="Consolas"/>
          <w:color w:val="101828"/>
          <w:sz w:val="13"/>
        </w:rPr>
        <w:t xml:space="preserve"> </w:t>
      </w:r>
    </w:p>
    <w:p>
      <w:pPr>
        <w:shd w:val="clear" w:fill="F8F9FC"/>
        <w:spacing w:after="0" w:before="0"/>
        <w:ind w:left="227"/>
      </w:pPr>
      <w:r>
        <w:rPr>
          <w:rFonts w:ascii="Consolas" w:hAnsi="Consolas"/>
          <w:color w:val="101828"/>
          <w:sz w:val="13"/>
        </w:rPr>
        <w:t xml:space="preserve">  classDef device fill:#E8F0FE,stroke:#1D4ED8,color:#0F1D40;</w:t>
      </w:r>
    </w:p>
    <w:p>
      <w:pPr>
        <w:shd w:val="clear" w:fill="F8F9FC"/>
        <w:spacing w:after="0" w:before="0"/>
        <w:ind w:left="227"/>
      </w:pPr>
      <w:r>
        <w:rPr>
          <w:rFonts w:ascii="Consolas" w:hAnsi="Consolas"/>
          <w:color w:val="101828"/>
          <w:sz w:val="13"/>
        </w:rPr>
        <w:t xml:space="preserve">  classDef edge fill:#FDE7F0,stroke:#BE185D,color:#4A0D28;</w:t>
      </w:r>
    </w:p>
    <w:p>
      <w:pPr>
        <w:shd w:val="clear" w:fill="F8F9FC"/>
        <w:spacing w:after="0" w:before="0"/>
        <w:ind w:left="227"/>
      </w:pPr>
      <w:r>
        <w:rPr>
          <w:rFonts w:ascii="Consolas" w:hAnsi="Consolas"/>
          <w:color w:val="101828"/>
          <w:sz w:val="13"/>
        </w:rPr>
        <w:t xml:space="preserve">  classDef ci fill:#E7F6EC,stroke:#047857,color:#052E1C;</w:t>
      </w:r>
    </w:p>
    <w:p>
      <w:pPr>
        <w:shd w:val="clear" w:fill="F8F9FC"/>
        <w:spacing w:after="0" w:before="0"/>
        <w:ind w:left="227"/>
      </w:pPr>
      <w:r>
        <w:rPr>
          <w:rFonts w:ascii="Consolas" w:hAnsi="Consolas"/>
          <w:color w:val="101828"/>
          <w:sz w:val="13"/>
        </w:rPr>
        <w:t xml:space="preserve">  classDef ext fill:#FFF4E0,stroke:#B45309,color:#4A2A05;</w:t>
      </w:r>
    </w:p>
    <w:p>
      <w:pPr>
        <w:shd w:val="clear" w:fill="F8F9FC"/>
        <w:spacing w:after="0" w:before="0"/>
        <w:ind w:left="227"/>
      </w:pPr>
      <w:r>
        <w:rPr>
          <w:rFonts w:ascii="Consolas" w:hAnsi="Consolas"/>
          <w:color w:val="101828"/>
          <w:sz w:val="13"/>
        </w:rPr>
        <w:t xml:space="preserve">  classDef human fill:#F1E8FD,stroke:#6D28D9,color:#2A1052;</w:t>
      </w:r>
    </w:p>
    <w:p>
      <w:pPr>
        <w:shd w:val="clear" w:fill="F8F9FC"/>
        <w:spacing w:after="0" w:before="0"/>
        <w:ind w:left="227"/>
      </w:pPr>
      <w:r>
        <w:rPr>
          <w:rFonts w:ascii="Consolas" w:hAnsi="Consolas"/>
          <w:color w:val="101828"/>
          <w:sz w:val="13"/>
        </w:rPr>
        <w:t xml:space="preserve">  class UI,ENGINE,STORE,LOG device;</w:t>
      </w:r>
    </w:p>
    <w:p>
      <w:pPr>
        <w:shd w:val="clear" w:fill="F8F9FC"/>
        <w:spacing w:after="0" w:before="0"/>
        <w:ind w:left="227"/>
      </w:pPr>
      <w:r>
        <w:rPr>
          <w:rFonts w:ascii="Consolas" w:hAnsi="Consolas"/>
          <w:color w:val="101828"/>
          <w:sz w:val="13"/>
        </w:rPr>
        <w:t xml:space="preserve">  class FN1,FN2 edge;</w:t>
      </w:r>
    </w:p>
    <w:p>
      <w:pPr>
        <w:shd w:val="clear" w:fill="F8F9FC"/>
        <w:spacing w:after="0" w:before="0"/>
        <w:ind w:left="227"/>
      </w:pPr>
      <w:r>
        <w:rPr>
          <w:rFonts w:ascii="Consolas" w:hAnsi="Consolas"/>
          <w:color w:val="101828"/>
          <w:sz w:val="13"/>
        </w:rPr>
        <w:t xml:space="preserve">  class UNIFIED,WATCH,CIQ ci;</w:t>
      </w:r>
    </w:p>
    <w:p>
      <w:pPr>
        <w:shd w:val="clear" w:fill="F8F9FC"/>
        <w:spacing w:after="0" w:before="0"/>
        <w:ind w:left="227"/>
      </w:pPr>
      <w:r>
        <w:rPr>
          <w:rFonts w:ascii="Consolas" w:hAnsi="Consolas"/>
          <w:color w:val="101828"/>
          <w:sz w:val="13"/>
        </w:rPr>
        <w:t xml:space="preserve">  class LISTS,MEDIA,WIKI,ANTHROPIC ext;</w:t>
      </w:r>
    </w:p>
    <w:p>
      <w:pPr>
        <w:shd w:val="clear" w:fill="F8F9FC"/>
        <w:spacing w:after="0" w:before="0"/>
        <w:ind w:left="227"/>
      </w:pPr>
      <w:r>
        <w:rPr>
          <w:rFonts w:ascii="Consolas" w:hAnsi="Consolas"/>
          <w:color w:val="101828"/>
          <w:sz w:val="13"/>
        </w:rPr>
        <w:t xml:space="preserve">  class ASANA,GOAML,MLRO human;</w:t>
      </w:r>
    </w:p>
    <w:p>
      <w:pPr>
        <w:spacing w:after="40"/>
      </w:pPr>
    </w:p>
    <w:p>
      <w:r>
        <w:br w:type="page"/>
      </w:r>
    </w:p>
    <w:p>
      <w:pPr>
        <w:pStyle w:val="Heading1"/>
        <w:pBdr>
          <w:bottom w:val="single" w:sz="10" w:space="4" w:color="BE185D"/>
        </w:pBdr>
        <w:keepNext/>
      </w:pPr>
      <w:r>
        <w:t>Appendix C — Evidence Index</w:t>
      </w:r>
    </w:p>
    <w:p>
      <w:pPr>
        <w:spacing w:after="160"/>
      </w:pPr>
      <w:r>
        <w:rPr>
          <w:b w:val="0"/>
          <w:i w:val="0"/>
          <w:color w:val="475467"/>
          <w:sz w:val="19"/>
        </w:rPr>
        <w:t>Every artifact cited in this plan, with what it evidences — ordered for a due-diligence walkthrough.</w:t>
      </w:r>
    </w:p>
    <w:p>
      <w:pPr>
        <w:spacing w:after="60"/>
        <w:keepNext/>
      </w:pPr>
      <w:r>
        <w:rPr>
          <w:b/>
          <w:i w:val="0"/>
          <w:color w:val="101828"/>
          <w:sz w:val="18"/>
        </w:rPr>
        <w:t>Table 20 — Due-diligence evidence index</w:t>
      </w:r>
    </w:p>
    <w:tbl>
      <w:tblPr>
        <w:tblW w:type="auto" w:w="0"/>
        <w:jc w:val="center"/>
        <w:tblLayout w:type="fixed"/>
        <w:tblLook w:firstColumn="1" w:firstRow="1" w:lastColumn="0" w:lastRow="0" w:noHBand="0" w:noVBand="1" w:val="04A0"/>
      </w:tblPr>
      <w:tblGrid>
        <w:gridCol w:w="4706"/>
        <w:gridCol w:w="4706"/>
      </w:tblGrid>
      <w:tr>
        <w:tc>
          <w:tcPr>
            <w:tcW w:type="dxa" w:w="3515"/>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Artifact (repository path)</w:t>
            </w:r>
          </w:p>
        </w:tc>
        <w:tc>
          <w:tcPr>
            <w:tcW w:type="dxa" w:w="5896"/>
            <w:shd w:val="clear" w:fill="101828"/>
            <w:tcBorders>
              <w:top w:val="single" w:sz="4" w:color="98A2B3"/>
              <w:bottom w:val="single" w:sz="4" w:color="98A2B3"/>
              <w:left w:val="single" w:sz="4" w:color="98A2B3"/>
              <w:right w:val="single" w:sz="4" w:color="98A2B3"/>
            </w:tcBorders>
          </w:tcPr>
          <w:p>
            <w:pPr>
              <w:spacing w:before="40" w:after="40"/>
            </w:pPr>
            <w:r>
              <w:rPr>
                <w:b/>
                <w:color w:val="FFFFFF"/>
                <w:sz w:val="17"/>
              </w:rPr>
              <w:t>What it evidences</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ai.py</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AI layer: LLM gateway + gates (ANTHROPIC_API_KEY, LLM_TRIAGE, REPORT_ALLOW_LLM), grounding system prompt, injection markers, triage, risk rating, related parties, STR draft, MODEL_CARD</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screen.py</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Screening engine: list loaders + URLs, matching thresholds, 50% rule, delta engine, adverse/PEP pipelines, degrade-loudly gates, report sections ①–⑦, delivery guarantees</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agents.py</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Agentic governance: 9 agent identities and allow-lists, enforcing audit log, credential broker, QA gate, attestation builders</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kyc.py · txn_monitor.py · str_dossier.py · monitoring.py</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CDD gap engine (R.10/R.25); 7 transaction rules + AED thresholds (inert until feed); goAML dossier template; drift monitoring + LLM telemetry</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netlify/functions/brain-soul.js</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Advisor LLM core: Soul Charter P1–P10, model router (haiku/sonnet/opus), 7 runtime guards, audit line, rate limit, kill switch</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netlify/functions/_auth.js · _ratelimit.js</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Origin allow-list, shared-token modes, per-IP rate limiting design and its documented limits</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advisor.html · advisor.js · assets/super-data.js</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Static cited corpus (60 groups / 350 questions / 187 tools), 16 personas, AUP acknowledgment gate, client PII warning, local-only telemetry</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scripts/reg-draft.mjs</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AI-drafted regulatory proposals: claude-opus-4-8 default, PR-only output, never auto-applied</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scripts/advisor-eval.mjs · advisor-bias-eval.mjs</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Live behavioural charter evals and paired-prompt bias evals with regression exit codes and issue-opening</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test/redteam_injection.py · bias_eval.py · fuzz_properties.py · advisor-assurance.test.js · ai-assets.test.js</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CI-blocking model validation: injection contract, cross-script recall parity, property fuzzing, charter drift, model-routing pins, shadow-AI register enforcement</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data/ai-assets.json</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Machine-readable AI asset register: 3 assets, risk tiers, EU AI Act classes, owners, controls, quarterly review</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docs/AI-GOVERNANCE.md</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The AI layer's master governance document / model card (UAE AI Strategy 2031, ethics principles, PDPL)</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docs/governance/ (~30 docs)</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DPIA (MLRO-signed), ISO 42001 SoA, NIST AI RMF crosswalk, EU AI Act assessment, UAE AI Charter mapping, incident runbook + kill switch, AUP, bias reviews, data retention, 6-layer scorecard, gap analysis</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docs/aims/ (27 docs)</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ISO/IEC 42001 AIMS pack: risk register, SoA, internal audit, management review, CAPA, third-party/DPA register, red-team procedure, decommissioning</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docs/models/ (6 cards)</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Model cards: risk-scoring engine, sanctions name matcher, adverse-media classifier, PEP identifier, advisor LLM, ai-triage</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docs/architecture.md · docs/architecture/</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Five-tier trust model, STRIDE per boundary, boundary-crossing controls, 7 architecture diagrams</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docs/executive/</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Existing executive pack this plan extends: executive brief (readiness 3.9/5, open decisions), business value, regulatory readiness map, KPI dashboard spec, roadmap</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.github/workflows/ (47)</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Daily unified screen (00:07 UTC), 6-hourly onboarding screen, anomaly watch, weekly evals, watchdogs, CI gates, provenance-attested releases</w:t>
            </w:r>
          </w:p>
        </w:tc>
      </w:tr>
      <w:tr>
        <w:tc>
          <w:tcPr>
            <w:tcW w:type="dxa" w:w="3515"/>
            <w:tcBorders>
              <w:top w:val="single" w:sz="4" w:color="D0D5DD"/>
              <w:bottom w:val="single" w:sz="4" w:color="D0D5DD"/>
              <w:left w:val="single" w:sz="4" w:color="D0D5DD"/>
              <w:right w:val="single" w:sz="4" w:color="D0D5DD"/>
            </w:tcBorders>
          </w:tcPr>
          <w:p>
            <w:pPr>
              <w:spacing w:before="20" w:after="20"/>
            </w:pPr>
            <w:r>
              <w:rPr>
                <w:rFonts w:ascii="Consolas" w:hAnsi="Consolas"/>
                <w:b w:val="0"/>
                <w:i w:val="0"/>
                <w:color w:val="475467"/>
                <w:sz w:val="16"/>
              </w:rPr>
              <w:t>.env.example</w:t>
            </w:r>
          </w:p>
        </w:tc>
        <w:tc>
          <w:tcPr>
            <w:tcW w:type="dxa" w:w="5896"/>
            <w:tcBorders>
              <w:top w:val="single" w:sz="4" w:color="D0D5DD"/>
              <w:bottom w:val="single" w:sz="4" w:color="D0D5DD"/>
              <w:left w:val="single" w:sz="4" w:color="D0D5DD"/>
              <w:right w:val="single" w:sz="4" w:color="D0D5DD"/>
            </w:tcBorders>
          </w:tcPr>
          <w:p>
            <w:pPr>
              <w:spacing w:before="20" w:after="20"/>
            </w:pPr>
            <w:r>
              <w:rPr>
                <w:color w:val="475467"/>
                <w:sz w:val="17"/>
              </w:rPr>
              <w:t>The complete configuration surface: every AI gate, token scope, threshold and rate limit documented for deployers</w:t>
            </w:r>
          </w:p>
        </w:tc>
      </w:tr>
      <w:tr>
        <w:tc>
          <w:tcPr>
            <w:tcW w:type="dxa" w:w="3515"/>
            <w:tcBorders>
              <w:top w:val="single" w:sz="4" w:color="D0D5DD"/>
              <w:bottom w:val="single" w:sz="4" w:color="D0D5DD"/>
              <w:left w:val="single" w:sz="4" w:color="D0D5DD"/>
              <w:right w:val="single" w:sz="4" w:color="D0D5DD"/>
            </w:tcBorders>
            <w:shd w:val="clear" w:fill="F2F4F7"/>
          </w:tcPr>
          <w:p>
            <w:pPr>
              <w:spacing w:before="20" w:after="20"/>
            </w:pPr>
            <w:r>
              <w:rPr>
                <w:rFonts w:ascii="Consolas" w:hAnsi="Consolas"/>
                <w:b w:val="0"/>
                <w:i w:val="0"/>
                <w:color w:val="475467"/>
                <w:sz w:val="16"/>
              </w:rPr>
              <w:t>README.md · CHANGELOG.md</w:t>
            </w:r>
          </w:p>
        </w:tc>
        <w:tc>
          <w:tcPr>
            <w:tcW w:type="dxa" w:w="5896"/>
            <w:tcBorders>
              <w:top w:val="single" w:sz="4" w:color="D0D5DD"/>
              <w:bottom w:val="single" w:sz="4" w:color="D0D5DD"/>
              <w:left w:val="single" w:sz="4" w:color="D0D5DD"/>
              <w:right w:val="single" w:sz="4" w:color="D0D5DD"/>
            </w:tcBorders>
            <w:shd w:val="clear" w:fill="F2F4F7"/>
          </w:tcPr>
          <w:p>
            <w:pPr>
              <w:spacing w:before="20" w:after="20"/>
            </w:pPr>
            <w:r>
              <w:rPr>
                <w:color w:val="475467"/>
                <w:sz w:val="17"/>
              </w:rPr>
              <w:t>Product narrative, methodology tables, v3.7.2 history including delivery-hardening and budget-learning changes (#271, #275)</w:t>
            </w:r>
          </w:p>
        </w:tc>
      </w:tr>
    </w:tbl>
    <w:p>
      <w:pPr>
        <w:spacing w:after="40"/>
      </w:pPr>
    </w:p>
    <w:p>
      <w:pPr>
        <w:spacing w:after="40"/>
      </w:pPr>
    </w:p>
    <w:p>
      <w:pPr>
        <w:spacing w:after="0"/>
        <w:jc w:val="center"/>
      </w:pPr>
      <w:r>
        <w:rPr>
          <w:b w:val="0"/>
          <w:i/>
          <w:color w:val="475467"/>
          <w:sz w:val="18"/>
        </w:rPr>
        <w:t>— End of document —</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Bdr>
        <w:top w:val="single" w:sz="4" w:space="4" w:color="D0D5DD"/>
      </w:pBdr>
    </w:pPr>
    <w:r>
      <w:rPr>
        <w:color w:val="475467"/>
        <w:sz w:val="16"/>
      </w:rPr>
    </w:r>
    <w:r>
      <w:rPr>
        <w:color w:val="475467"/>
        <w:sz w:val="16"/>
      </w:rPr>
      <w:t>Hawkeye Sterling — AI in the Compliance Platform · Presentation Plan · July 2026 · Proprietary</w:t>
      <w:tab/>
    </w:r>
    <w:r>
      <w:rPr>
        <w:color w:val="475467"/>
        <w:sz w:val="16"/>
      </w:rPr>
      <w:t xml:space="preserve">Page </w:t>
    </w:r>
    <w:r>
      <w:rPr>
        <w:color w:val="475467"/>
        <w:sz w:val="16"/>
      </w:rPr>
      <w:fldChar w:fldCharType="begin"/>
      <w:instrText xml:space="preserve"> PAGE </w:instrText>
      <w:fldChar w:fldCharType="end"/>
    </w:r>
    <w:r>
      <w:rPr>
        <w:color w:val="475467"/>
        <w:sz w:val="16"/>
      </w:rPr>
      <w:t xml:space="preserve"> of </w:t>
    </w:r>
    <w:r>
      <w:rPr>
        <w:color w:val="475467"/>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47546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01828"/>
      <w:sz w:val="34"/>
      <w:szCs w:val="28"/>
      <w:u w:val="none"/>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01828"/>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BE185D"/>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