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RECORD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HSV2-SCN-2026-04-15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Screening day 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performed the daily sanctions screening cross-check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counterparty register (3 records) against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 Security Council Consolidated List (3775 names) and the UAE Local Terrorist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List (0 names) as implemented by the Executive Office for Control and Non-Proliferation.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METHOD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Names were normalised by lowercasing, removing diacritics and punctuation, 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collapsing whitespace. A counterparty matches a listed name when either string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fully contains the other after normalisation and both strings are at least four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characters long. Partial matches are treated as potential Partial Name Match Reports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and must be reviewed manually before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RESULT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match was recorded today. The counterparty register is clear against both lists.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File this screening record in the audit archive. No further action required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