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CASH TRANSACTION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HSV2-DCT-2026-04-17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All active compliance programmes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references cash activity (AED amounts, walk-in purchases, linked cash transactions) as of 2026-04-17. It is produced so that any item approaching the cash transaction threshold specified by the DPMSR framework can be reviewed by the MLRO before the day ends.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Tasks referencing cash activity:            56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carrying a cash file today:      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16/04/2026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15/04/2026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14/04/2026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Palladium (XPD) — Spot $1,025.00 | RANG…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Platinum (XPT) — Spot $985.00 | MEAN RE…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Silver (XAG) — Spot $29.85 | RANGING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Gold (XAU) — Spot $2,340.50 | TRENDING 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XAU — BUY signal | 62% conviction | R:R…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G/S RATIO — Ratio 78.4 | Monitoring for…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CROSS EXCHANGE — LBMA→DMCC | Spread 0.1…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Risk Limits Configuration      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AED 55K Threshold Monitor — 0 breaches 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Monthly Performance Report — April 2026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 Governance Watchdog          Daily AI Governance Self-Audit — regula…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July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August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Septembe…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November…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LLC — MLRO Monthly Report | December…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May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June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July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Augus…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FG BRANCH — MLRO Monthly Report | Septe…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May…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MADISON LLC — MLRO Monthly Report | Jun…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Ma…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GRAMALTIN AS — MLRO Monthly Report | Ju…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May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NAPLES LLC — MLRO Monthly Report | June…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May 2026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EN…  ZOE FZE — MLRO Monthly Report | June 20…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🚨 MLRO Central - Blocked Acr…  Freeze Protocol Registry — 24h EOCN cou…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[P2] Register firm with UAE FIU goAML p…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[QUARTERLY] MLRO Board report — screeni…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[MONTHLY] Run /kpi-report → file with 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[WEEKLY] Run /audit skill → review past…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2026-06-01]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2026-07-06]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2026-05-18]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2026-06-15]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2026-06-08]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2026-05-25]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2026-06-29]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2026-06-22]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2026-05-11]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2026-11-30]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[WEEKLY 2026-08-31] Run /audit skill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2027-01-01] MLRO Board report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[MONTHLY 2026-07-01] Run /kpi-report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2026-10-01] MLRO Board report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[MONTHLY 2026-06-01] Run /kpi-report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  [QUARTERLY 2027-04-01] MLRO Board report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is asked to verify whether any of the cash files listed above meets the DPMSR filing trigger for the rolling 30-day window on a linked transaction basis. The automation does not make that determination; the MLRO does.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