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REGULATORY UPDATE WATCH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HSV2-REG-2026-04-08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Monitoring day 2026-04-08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compared the current content hash of 4 regulator and standard-setter pages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against the most recent stored snapshot. Any change is reported below and the new snapshot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is committed to the audit archive. No natural-language analysis is performed by this job.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MLRO opens each changed URL to read the actual update.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CHANGED OR NEW SOURCES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                                        Authority                            Status   URL                                     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  -----------------------------------  -------  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— AML supervision pages    Ministry of Economy                  changed  https://www.moec.gov.ae/en/anti-money-laundering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Executive Office for Control and Non-Prolife…  Executive Office for Control and N…  changed  https://www.uaeiec.gov.ae/en-us/            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UNCHANGED SOURCES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FETCH ERRORS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                            Authority                    Error     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  ---------------------------  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Central Bank of the UAE — AML/CFT  Central Bank of the UAE      HTTP 403 Forbidden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FATF — News                        Financial Action Task Force  HTTP 403 Forbidden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Open each changed URL listed above and read the updated page content.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If the change introduces a new obligation, open a task in the compliance workspace with a clear owner and deadline.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If the change revises an existing obligation, update the relevant control, procedure or training material.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Investigate every fetch error. A persistent error indicates the source URL may have moved and the configuration must be updated.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