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RECORD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HSV2-SCN-2026-04-17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Screening day 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performed the daily sanctions screening cross-check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counterparty register (3 records) against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 Security Council Consolidated List (3775 names) and the UAE Local Terrorist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List (0 names) as implemented by the Executive Office for Control and Non-Proliferation.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METHOD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Names were normalised by lowercasing, removing diacritics and punctuation, 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collapsing whitespace. A counterparty matches a listed name when either string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fully contains the other after normalisation and both strings are at least four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characters long. Partial matches are treated as potential Partial Name Match Reports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must be reviewed manually before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RESULT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match was recorded today. The counterparty register is clear against both lists.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File this screening record in the audit archive. No further action required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