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ANNUAL PROGRAMME EFFECTIVENESS SELF-ASSESSMENT</w:t>
      </w:r>
    </w:p>
    <w:p>
      <w:pPr>
        <w:spacing w:after="0"/>
      </w:pPr>
      <w:r>
        <w:rPr>
          <w:rFonts w:ascii="Courier New" w:hAnsi="Courier New" w:cs="Courier New"/>
          <w:sz w:val="20"/>
        </w:rPr>
        <w:t xml:space="preserve">Year 2025</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HSV2-APE-2025</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2026-04-06, 10:00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01 January 2025 to 31 December 2025</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1. PURPOSE</w:t>
      </w:r>
    </w:p>
    <w:p>
      <w:pPr>
        <w:spacing w:after="0"/>
      </w:pPr>
    </w:p>
    <w:p>
      <w:pPr>
        <w:spacing w:after="0"/>
      </w:pPr>
      <w:r>
        <w:rPr>
          <w:rFonts w:ascii="Courier New" w:hAnsi="Courier New" w:cs="Courier New"/>
          <w:sz w:val="20"/>
        </w:rPr>
        <w:t xml:space="preserve">This self-assessment scores the [Reporting Entity] AML and CFT programme for the year 2025 against five pillars derived from the evidence held in the compliance automation archive. It is produced deterministically and contains no narrative that has not been supported by a file in history/.</w:t>
      </w:r>
    </w:p>
    <w:p>
      <w:pPr>
        <w:spacing w:after="0"/>
      </w:pPr>
    </w:p>
    <w:p>
      <w:pPr>
        <w:spacing w:after="0"/>
      </w:pPr>
      <w:r>
        <w:rPr>
          <w:rFonts w:ascii="Courier New" w:hAnsi="Courier New" w:cs="Courier New"/>
          <w:sz w:val="20"/>
        </w:rPr>
        <w:t xml:space="preserve">The output is a DRAFT for the MLRO to review, amend, and present to the Board alongside the Annual MLRO Report and the Annual Enterprise-Wide Risk Assessment.</w:t>
      </w:r>
    </w:p>
    <w:p>
      <w:pPr>
        <w:spacing w:after="0"/>
      </w:pPr>
    </w:p>
    <w:p>
      <w:pPr>
        <w:spacing w:after="0"/>
      </w:pPr>
      <w:r>
        <w:rPr>
          <w:rFonts w:ascii="Courier New" w:hAnsi="Courier New" w:cs="Courier New"/>
          <w:sz w:val="20"/>
        </w:rPr>
        <w:t xml:space="preserve">2. OVERALL SCORE</w:t>
      </w:r>
    </w:p>
    <w:p>
      <w:pPr>
        <w:spacing w:after="0"/>
      </w:pPr>
    </w:p>
    <w:p>
      <w:pPr>
        <w:spacing w:after="0"/>
      </w:pPr>
      <w:r>
        <w:rPr>
          <w:rFonts w:ascii="Courier New" w:hAnsi="Courier New" w:cs="Courier New"/>
          <w:sz w:val="20"/>
        </w:rPr>
        <w:t xml:space="preserve">Overall programme effectiveness score: 14/100 (unsatisfactory)</w:t>
      </w:r>
    </w:p>
    <w:p>
      <w:pPr>
        <w:spacing w:after="0"/>
      </w:pPr>
    </w:p>
    <w:p>
      <w:pPr>
        <w:spacing w:after="0"/>
      </w:pPr>
      <w:r>
        <w:rPr>
          <w:rFonts w:ascii="Courier New" w:hAnsi="Courier New" w:cs="Courier New"/>
          <w:sz w:val="20"/>
        </w:rPr>
        <w:t xml:space="preserve">3. SCORES BY PILLAR</w:t>
      </w:r>
    </w:p>
    <w:p>
      <w:pPr>
        <w:spacing w:after="0"/>
      </w:pPr>
    </w:p>
    <w:p>
      <w:pPr>
        <w:spacing w:after="0"/>
      </w:pPr>
      <w:r>
        <w:rPr>
          <w:rFonts w:ascii="Courier New" w:hAnsi="Courier New" w:cs="Courier New"/>
          <w:sz w:val="20"/>
        </w:rPr>
        <w:t xml:space="preserve">PILLAR                                  SCORE  RATING          EVIDENCE                                          </w:t>
      </w:r>
    </w:p>
    <w:p>
      <w:pPr>
        <w:spacing w:after="0"/>
      </w:pPr>
      <w:r>
        <w:rPr>
          <w:rFonts w:ascii="Courier New" w:hAnsi="Courier New" w:cs="Courier New"/>
          <w:sz w:val="20"/>
        </w:rPr>
        <w:t xml:space="preserve">--------------------------------------  -----  --------------  --------------------------------------------------</w:t>
      </w:r>
    </w:p>
    <w:p>
      <w:pPr>
        <w:spacing w:after="0"/>
      </w:pPr>
      <w:r>
        <w:rPr>
          <w:rFonts w:ascii="Courier New" w:hAnsi="Courier New" w:cs="Courier New"/>
          <w:sz w:val="20"/>
        </w:rPr>
        <w:t xml:space="preserve">Governance and MLRO reporting           0      unsatisfactory  Monthly reports 0/12, quarterly reports 0/4       </w:t>
      </w:r>
    </w:p>
    <w:p>
      <w:pPr>
        <w:spacing w:after="0"/>
      </w:pPr>
      <w:r>
        <w:rPr>
          <w:rFonts w:ascii="Courier New" w:hAnsi="Courier New" w:cs="Courier New"/>
          <w:sz w:val="20"/>
        </w:rPr>
        <w:t xml:space="preserve">Daily operational discipline            0      unsatisfactory  Daily folders 0                                   </w:t>
      </w:r>
    </w:p>
    <w:p>
      <w:pPr>
        <w:spacing w:after="0"/>
      </w:pPr>
      <w:r>
        <w:rPr>
          <w:rFonts w:ascii="Courier New" w:hAnsi="Courier New" w:cs="Courier New"/>
          <w:sz w:val="20"/>
        </w:rPr>
        <w:t xml:space="preserve">Weekly pattern intelligence             0      unsatisfactory  Weekly pattern reports 0/52                       </w:t>
      </w:r>
    </w:p>
    <w:p>
      <w:pPr>
        <w:spacing w:after="0"/>
      </w:pPr>
      <w:r>
        <w:rPr>
          <w:rFonts w:ascii="Courier New" w:hAnsi="Courier New" w:cs="Courier New"/>
          <w:sz w:val="20"/>
        </w:rPr>
        <w:t xml:space="preserve">Filing drafts prepared for MLRO review  40     weak            Filing drafts in archive: 0                       </w:t>
      </w:r>
    </w:p>
    <w:p>
      <w:pPr>
        <w:spacing w:after="0"/>
      </w:pPr>
      <w:r>
        <w:rPr>
          <w:rFonts w:ascii="Courier New" w:hAnsi="Courier New" w:cs="Courier New"/>
          <w:sz w:val="20"/>
        </w:rPr>
        <w:t xml:space="preserve">Counterparty intelligence               30     weak            Counterparty register rows: 0; high or critical: 0</w:t>
      </w:r>
    </w:p>
    <w:p>
      <w:pPr>
        <w:spacing w:after="0"/>
      </w:pPr>
    </w:p>
    <w:p>
      <w:pPr>
        <w:spacing w:after="0"/>
      </w:pPr>
      <w:r>
        <w:rPr>
          <w:rFonts w:ascii="Courier New" w:hAnsi="Courier New" w:cs="Courier New"/>
          <w:sz w:val="20"/>
        </w:rPr>
        <w:t xml:space="preserve">4. INTERPRETATION</w:t>
      </w:r>
    </w:p>
    <w:p>
      <w:pPr>
        <w:spacing w:after="0"/>
      </w:pPr>
    </w:p>
    <w:p>
      <w:pPr>
        <w:spacing w:after="0"/>
      </w:pPr>
      <w:r>
        <w:rPr>
          <w:rFonts w:ascii="Courier New" w:hAnsi="Courier New" w:cs="Courier New"/>
          <w:sz w:val="20"/>
        </w:rPr>
        <w:t xml:space="preserve">The score in section 2 is an internal indicator only. It reflects the presence of archived artefacts in the repository, not the underlying quality of the decisions the MLRO recorded in those artefacts. The Board and the MLRO may reach a different view after reading the referenced documents.</w:t>
      </w:r>
    </w:p>
    <w:p>
      <w:pPr>
        <w:spacing w:after="0"/>
      </w:pPr>
    </w:p>
    <w:p>
      <w:pPr>
        <w:spacing w:after="0"/>
      </w:pPr>
      <w:r>
        <w:rPr>
          <w:rFonts w:ascii="Courier New" w:hAnsi="Courier New" w:cs="Courier New"/>
          <w:sz w:val="20"/>
        </w:rPr>
        <w:t xml:space="preserve">5. MLRO ACTION</w:t>
      </w:r>
    </w:p>
    <w:p>
      <w:pPr>
        <w:spacing w:after="0"/>
      </w:pPr>
    </w:p>
    <w:p>
      <w:pPr>
        <w:spacing w:after="0"/>
      </w:pPr>
      <w:r>
        <w:rPr>
          <w:rFonts w:ascii="Courier New" w:hAnsi="Courier New" w:cs="Courier New"/>
          <w:sz w:val="20"/>
        </w:rPr>
        <w:t xml:space="preserve">Review each pillar score above, read the referenced artefacts for any pillar scoring below 70, and record the MLRO's own rating in the space below on the final document. Any difference between the automation score and the MLRO rating is a useful audit signal and should be noted in the Board pack.</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