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1213920295644361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HSV2-TPK-2026-04-06-UNASSIGNED-[Critical]_REG-02_HR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1213920295644361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[Critical] REG-02 | HRC/HRCA Reporting Protocol and 3-Day Hold Procedure (goAML)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1213920295644361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https://app.asana.com/1/1213645083721316/project/1213908827982041/task/1213920295644361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procedure for filing High-Risk Country Transaction Reports (HRC) and High-Risk Country Activity Reports (HRCA) through the goAML portal.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HRC/HRCA Filing SOP documenting: trigger criteria (transaction/activity involving NAMLCFTC-designated high-risk country), filing steps in goAML, mandatory 3-working-day hold period before execution (transaction may only proceed if FIU does not object within 3 days)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NAMLCFTC jurisdictions list saved locally with quarterly refresh schedule (source: https://www.namlcftc.gov.ae/en/more/jurisdictions/)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Decision tree: HRC (completed transaction) vs HRCA (activity/attempted transaction) vs STR (suspicious element present)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Template for HRC/HRCA report content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Escalation protocol if FIU objects within 3-day 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Integration with transaction monitoring workflow (link to TM-01 alert triage)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