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HSV2-TPK-2026-04-06-UNASSIGNED-[High]_ACEP-05_IC-00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ACEP-05 | IC-003: Red Flags Awareness Bulletin (March)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Draft, distribute, and track acknowledgement of IC-003 Red Flags Awareness Bulletin.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Content: Updated corruption and ML/TF red flags for precious metals (RF-C01 to RF-C12, RF-ML01 to RF-ML14, RF-SC01 to RF-SC08), recent FATF and UAE FIU typologies, short case studies.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Audience: Front Office/Sales.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Section 7, Section 15, Annex B (March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[High] ACEP-05 | IC-003: Red Flags Awareness Bulletin (March) - ENTITY: NAPLES LLCPRIORITY: HighSOURCE: FG-POL-AC-001 Anti-Corruption, Ethics and Compliance PolicyDraft, distribute, and track acknowledgement of IC-003 Red Flags Awareness Bulletin. Content: Updated corruption and ML/TF red flags for precious metals (RF-C01 to RF-C12, RF-ML01 to RF-ML14, RF-SC01 to RF-SC08), recent FATF and UAE FIU typologies, short cas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