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HSV2-TPK-2026-04-06-UNASSIGNED-[High]_ACEP-07_IC-00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ACEP-07 | IC-005: CAHRA and Responsible Sourcing Update (May)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Draft, distribute, and track acknowledgement of IC-005 CAHRA and Responsible Sourcing Update.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Content: Updated CAHRA list, new conflict zones, supply chain due diligence obligations, LBMA RGG requirements.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Audience: Operations/Sourcing.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Section 5.3, Section 15, Annex B (May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[High] ACEP-07 | IC-005: CAHRA and Responsible Sourcing Update (May) - ENTITY: NAPLES LLCPRIORITY: HighSOURCE: FG-POL-AC-001 Anti-Corruption, Ethics and Compliance PolicyDraft, distribute, and track acknowledgement of IC-005 CAHRA and Responsible Sourcing Update. Content: Updated CAHRA list, new conflict zones, supply chain due diligence obligations, LBMA RGG requirements. Audience: Operations/Sourcing.Source: FG-POL-AC-001 Section 5.3, Section 15, Annex B (May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