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1213920295644359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HSV2-TPK-2026-04-06-UNASSIGNED-[High]_REG-04_CNMR_T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1213920295644359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[High] REG-04 | CNMR Terminology and Procedure Update (FFR to CNMR Migration)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1213920295644359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NAPLES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https://app.asana.com/1/1213645083721316/project/1213908827982041/task/1213920295644359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NAPLES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 Regulatory Gap Analysis - MOE / FIU / EOCN Cross-Reference (3 April 2026)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Update all compliance documents, procedures, templates, and training materials to replace FFR (Funds Freeze Report) with CNMR (Confirmed Name Match Report) per the EOCN TFS Guidance July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Deliverables: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(1) Document inventory scan: identify every reference to FFR across Compliance Manual, SOPs, templates, training decks, Asana task descriptions, and FG-POL-AC-001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(2) Replace all FFR references with CNMR including updated procedural requirements: mandatory disclosure of all transactions/relationships with confirmed match in past 5 years, updated goAML filing steps for CNMR report type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(3) Update PNMR procedure to align with July 2025 clarifications: screening during weekends/holidays, disclosure of prior dealings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(4) Version control: update document version numbers for all amended documents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(5) Staff notification circular on terminology change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(6) Trigger Change Mana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sanctions, training.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