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1213920090751321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HSV2-TPK-2026-04-06-UNASSIGNED-[High]_REG-06_5-Year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1213920090751321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[High] REG-06 | 5-Year Retrospective Screening Obligation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1213920090751321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https://app.asana.com/1/1213645083721316/project/1213908827982041/task/1213920090751321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Regulatory Gap Analysis - MOE / FIU / EOCN Cross-Reference (3 April 2026)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procedure for conducting retrospective screening when new designations are added to the UN Consolidated List or UAE Local Terrorist List.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Deliverables: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(1) Retrospective Screening SOP: upon receipt of NAS alert for new designation, screen all customers, counterparties, beneficial owners, and transaction parties from the past 5 years (including closed accounts/relationships)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(2) Data extraction procedure: query customer database, transaction records, and archived files for 5-year lookback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(3) CNMR/PNMR filing for any historical matches identified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(4) Documentation template: designation date, screening date, scope covered (active + closed), results, reports filed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(5) Integration with OEC-34 (Nightly Batch) for automated retrospective sweep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(6) Record retention: evidence of retrospective screening stored for minimum 5 years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EOCN TFS Guidance Ju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