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HSV2-TPK-2026-04-06-UNASSIGNED-[High]_REG-07_Simpli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REG-07 | Simplified Due Diligence (SDD) Procedure per MOE Circular No. (6) of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document a Simplified Due Diligence (SDD) procedure in compliance with MOE Circular No. (6) of 2025 and the DNFBP Implementation Guide on CDD and CRA (November 2024).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SDD Eligibility Criteria: define customer/transaction types qualifying for SDD (lower-risk per BWRA/EWRA, specific product types, established counterparties with clean history)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SDD Measures: reduced verification scope, simplified identity checks, adjusted ongoing monitoring frequency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SDD Exclusion List: categories that NEVER qualify for SDD (PEPs, high-risk countries, cash over AED 55,000, CAHRA-origin, complex structures, new/untested counterparties)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SDD-to-CDD/EDD Escalation Triggers: events that require immediate upgrade from SDD to standard CDD or EDD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SDD Decision Form: documented rationale for applying SDD to each qualifying customer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Integration with C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