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1213920090751319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HSV2-TPK-2026-04-06-UNASSIGNED-[High]_REG-08_goAML_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1213920090751319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[High] REG-08 | goAML Message Board Systematic Monitoring and Quarterly FIU Feedback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1213920090751319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https://app.asana.com/1/1213645083721316/project/1213908827982041/task/1213920090751319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Regulatory Gap Analysis - MOE / FIU / EOCN Cross-Reference (3 April 2026)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systematic monitoring of the goAML Message Board for inbound FIU communications.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Deliverables: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(1) Daily monitoring checklist: CO/MLRO logs into goAML Message Board daily and documents any new messages (even if nil)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(2) Message classification system: RFI (requires response), Quarterly Feedback (requires review/action plan), System Notice (information only), Urgent Directive (immediate action)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(3) Quarterly FIU Feedback Review procedure: extract key findings, compare against own filing practices, document corrective actions, present summary to senior management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(4) Response tracking register: message date, type, reference, required action, response deadline, completion date, evidence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(5) Backup access: ensure deputy CO/MLRO has goAML access for Message Board monitoring during CO absence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(6) Monthly reporting to senior management on FIU communication activity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