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1213920090751317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HSV2-TPK-2026-04-06-UNASSIGNED-[Medium]_REG-10_AIF_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1213920090751317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[Medium] REG-10 | AIF/AIFT Supplementary Filing Procedure (goAML Additional Information Reports)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1213920090751317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https://app.asana.com/1/1213645083721316/project/1213908827982041/task/1213920090751317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Regulatory Gap Analysis - MOE / FIU / EOCN Cross-Reference (3 April 2026)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procedure for filing Additional Information Files (AIF) and Additional Information Files with Transactions (AIFT) on goAML when supplementary data is identified or requested by the FIU.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Deliverables: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(1) AIF Filing SOP: trigger (new non-transactional information about an existing STR/SAR), content requirements, mandatory quoting of original STR/SAR web reference number in FIU Reference field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(2) AIFT Filing SOP: trigger (new transactions related to an existing STR/SAR), content requirements, transaction data formatting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(3) Decision tree: AIF (no new transactions) vs AIFT (new transactions to include)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(4) Internal escalation: who initiates AIF/AIFT (front-line staff or CO), approval workflow, quality check before submission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(5) Filing deadline: submit within reasonable timeframe of identifying new information (no regulatory maximum specified, but timeliness ex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