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1213920090751316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HSV2-TPK-2026-04-06-UNASSIGNED-[Medium]_REG-11_NAML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1213920090751316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[Medium] REG-11 | NAMLCFTC High-Risk Jurisdictions List Monitoring and Integration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1213920090751316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https://app.asana.com/1/1213645083721316/project/1213908827982041/task/1213920090751316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 Regulatory Gap Analysis - MOE / FIU / EOCN Cross-Reference (3 April 2026)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Establish ongoing monitoring of the NAMLCFTC High-Risk Jurisdictions list and integrate into CDD, transaction monitoring, and HRC/HRCA reporting workflows.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Deliverables: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(1) NAMLCFTC list download and local storage (source: https://www.namlcftc.gov.ae/en/more/jurisdictions/) with quarterly refresh schedule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(2) Integration with customer onboarding: flag any customer/counterparty/UBO from NAMLCFTC high-risk jurisdiction for EDD and HRC/HRCA reporting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(3) Integration with transaction monitoring: automated alert for transactions involving NAMLCFTC jurisdictions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(4) Distinction documentation: NAMLCFTC list (UAE national list) vs FATF High-Risk Jurisdictions (FATF grey/black list) vs UNSC Consolidated List (sanctions) - different obligations apply to each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(5) Staff awareness circular on NAMLCFTC list and its implications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(6) Update BWRA/EWRA country risk factors to incorpor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sanctions,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