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HSV2-TPK-2026-04-06-UNASSIGNED-ACE-01_Anti-Corrupti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ACE-01 | Anti-Corruption Policy Activation and Board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Finalize and board-approve Anti-Corruption Policy: Code of Conduct, scope covering all staff/directors/agents, annual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20/2018;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ACE-01 | Anti-Corruption Policy Activation and Board Approval - ENTITY: GRAMALTIN AS Finalize and board-approve Anti-Corruption Policy: Code of Conduct, scope covering all staff/directors/agents, annual review. Regulatory Basis: UAE FDL No.(10) of 2025 Art. 20; UAE Federal Decree-Law No. 20/2018; UNODC AC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