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1213954968560415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HSV2-TPK-2026-04-06-UNASSIGNED-ACE-03_Conflict_of_I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1213954968560415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ACE-03 | Conflict of Interest Disclosure and Management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1213954968560415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https://app.asana.com/1/1213645083721316/project/1213908508433868/task/1213954968560415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COI disclosure: personal financial interests, outside activities, family relationships with customers/suppliers, political affiliations.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Federal Decree-Law No. 20/2018; Cabinet Resolution 134/2025 Art. 59; UNODC AC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 Annual COI disclosure: personal financial interests, outside activities, family relationships with customers/suppliers, political affiliations. Regulatory Basis: UAE Federal Decree-Law No. 20/2018; Cabinet Resolution 134/2025 Art. 59; UNODC AC Guidance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