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HSV2-TPK-2026-04-06-UNASSIGNED-ACE-03_Conflict_of_I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ACE-03 | Conflict of Interest Disclosure and Management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COI disclosure: personal financial interests, outside activities, family relationships with customers/suppliers, political affiliations.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Cabinet Resolution 134/2025 Art. 59;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ACE-03 | Conflict of Interest Disclosure and Management - ENTITY: MADISON LLC Annual COI disclosure: personal financial interests, outside activities, family relationships with customers/suppliers, political affiliations. Regulatory Basis: UAE Federal Decree-Law No. 20/2018; Cabinet Resolution 134/2025 Art. 59;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