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HSV2-TPK-2026-04-06-UNASSIGNED-ACE-03_Conflict_of_I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1213959825297521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ACE-03 | Conflict of Interest Disclosure and Management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1213959825297521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https://app.asana.com/1/1213645083721316/project/1213908828069020/task/1213959825297521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COI disclosure: personal financial interests, outside activities, family relationships with customers/suppliers, political affiliations.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Cabinet Resolution 134/2025 Art. 59; UNODC AC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ANTI-CORRUPTION AND ETHICS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ACE-03 | Conflict of Interest Disclosure and Management - ENTITY: ZOE FZE Annual COI disclosure: personal financial interests, outside activities, family relationships with customers/suppliers, political affiliations. Regulatory Basis: UAE Federal Decree-Law No. 20/2018; Cabinet Resolution 134/2025 Art. 59; UNODC AC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