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HSV2-TPK-2026-04-06-UNASSIGNED-ACE-03_Conflict_of_I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ACE-03 | Conflict of Interest Disclosure and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COI disclosure: personal financial interests, outside activities, family relationships with customers/suppliers, political affiliations.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Cabinet Resolution 134/2025 Art. 59;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ACE-03 | Conflict of Interest Disclosure and Management - ENTITY: GRAMALTIN AS Annual COI disclosure: personal financial interests, outside activities, family relationships with customers/suppliers, political affiliations. Regulatory Basis: UAE Federal Decree-Law No. 20/2018; Cabinet Resolution 134/2025 Art. 59;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