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HSV2-TPK-2026-04-06-UNASSIGNED-ACE-04_Third-Party_A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ACE-04 | Third-Party/Agent Anti-Corruption Due Diligence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Agent/intermediary DD: background checks, corruption risk assessment, contractual anti-bribery clauses, ongoing monitoring, right to audit.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Federal Decree-Law No. 20/2018; UAE FDL No.(10) of 2025 Art. 20;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Agent/intermediary DD: background checks, corruption risk assessment, contractual anti-bribery clauses, ongoing monitoring, right to audit. Regulatory Basis: UAE Federal Decree-Law No. 20/2018; UAE FDL No.(10) of 2025 Art. 20;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