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1213959824594186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HSV2-TPK-2026-04-06-UNASSIGNED-ACE-06_Annual_Anti-C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1213959824594186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ACE-06 | Annual Anti-Corruption Risk Assessment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1213959824594186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https://app.asana.com/1/1213645083721316/project/1213908508433868/task/1213959824594186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AC risk: high-risk jurisdictions, government touchpoints, agent usage, licensing processes, GHE patterns. Integrate with EWRA.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Federal Decree-Law No. 20/2018; UAE FDL No.(10) of 2025 Art. 20; UNODC AC Guidance; TI CPI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 Annual AC risk: high-risk jurisdictions, government touchpoints, agent usage, licensing processes, GHE patterns. Integrate with EWRA. Regulatory Basis: UAE Federal Decree-Law No. 20/2018; UAE FDL No.(10) of 2025 Art. 20; UNODC AC Guidance; TI CPI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