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1213959825122810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HSV2-TPK-2026-04-06-UNASSIGNED-ACE-06_Annual_Anti-C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1213959825122810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ACE-06 | Annual Anti-Corruption Risk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1213959825122810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https://app.asana.com/1/1213645083721316/project/1213908611350810/task/1213959825122810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AC risk: high-risk jurisdictions, government touchpoints, agent usage, licensing processes, GHE patterns. Integrate with EWRA.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Federal Decree-Law No. 20/2018; UAE FDL No.(10) of 2025 Art. 20; UNODC AC Guidance; TI CPI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ANTI-CORRUPTION AND ETHICS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ACE-06 | Annual Anti-Corruption Risk Assessment - ENTITY: MADISON LLC Annual AC risk: high-risk jurisdictions, government touchpoints, agent usage, licensing processes, GHE patterns. Integrate with EWRA. Regulatory Basis: UAE Federal Decree-Law No. 20/2018; UAE FDL No.(10) of 2025 Art. 20; UNODC AC Guidance; TI CPI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