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1213962483856580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HSV2-TPK-2026-04-06-UNASSIGNED-ACE-06_Annual_Anti-C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1213962483856580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ACE-06 | Annual Anti-Corruption Risk Assessment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1213962483856580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https://app.asana.com/1/1213645083721316/project/1213908611400789/task/1213962483856580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Annual AC risk: high-risk jurisdictions, government touchpoints, agent usage, licensing processes, GHE patterns. Integrate with EWRA.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Federal Decree-Law No. 20/2018; UAE FDL No.(10) of 2025 Art. 20; UNODC AC Guidance; TI CPI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ANTI-CORRUPTION AND ETHICS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ACE-06 | Annual Anti-Corruption Risk Assessment - ENTITY: GRAMALTIN AS Annual AC risk: high-risk jurisdictions, government touchpoints, agent usage, licensing processes, GHE patterns. Integrate with EWRA. Regulatory Basis: UAE Federal Decree-Law No. 20/2018; UAE FDL No.(10) of 2025 Art. 20; UNODC AC Guidance; TI CPI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