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HSV2-TPK-2026-04-06-UNASSIGNED-ACE-06_Annual_Anti-C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ACE-06 | Annual Anti-Corruption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AC risk: high-risk jurisdictions, government touchpoints, agent usage, licensing processes, GHE patterns. Integrate with EWRA.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Guidance; TI CPI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ACE-06 | Annual Anti-Corruption Risk Assessment - ENTITY: FG LLC Annual AC risk: high-risk jurisdictions, government touchpoints, agent usage, licensing processes, GHE patterns. Integrate with EWRA. Regulatory Basis: UAE Federal Decree-Law No. 20/2018; UAE FDL No.(10) of 2025 Art. 20; UNODC AC Guidance; TI CPI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