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HSV2-TPK-2026-04-06-UNASSIGNED-ACE-06_Annual_Anti-C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ACE-06 | Annual Anti-Corruption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AC risk: high-risk jurisdictions, government touchpoints, agent usage, licensing processes, GHE patterns. Integrate with EWRA.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Guidance; TI CPI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ACE-06 | Annual Anti-Corruption Risk Assessment - ENTITY: NAPLES LLC Annual AC risk: high-risk jurisdictions, government touchpoints, agent usage, licensing processes, GHE patterns. Integrate with EWRA. Regulatory Basis: UAE Federal Decree-Law No. 20/2018; UAE FDL No.(10) of 2025 Art. 20; UNODC AC Guidance; TI CPI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