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HSV2-TPK-2026-04-06-UNASSIGNED-AIG-04_AI_Model_Vali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AIG-04 | AI Model Validation and Audit Trail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Validation requirements for compliance AI models: initial validation, periodic re-validation, performance metrics, data lineage, audit trails of AI-assisted decisions.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LBMA RGG v9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AIG-04 | AI Model Validation and Audit Trail Requirements - ENTITY: MADISON LLC Validation requirements for compliance AI models: initial validation, periodic re-validation, performance metrics, data lineage, audit trails of AI-assisted decisions. Regulatory Basis: UAE FDL No.(10) of 2025 Art. 20; Cabinet Resolution 134/2025 Art. 53-54; LBMA RGG v9 Step 5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